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813" w14:textId="06B71442" w:rsidR="005E6647" w:rsidRDefault="000C07E4" w:rsidP="005E6647">
      <w:pPr>
        <w:spacing w:after="480"/>
      </w:pPr>
      <w:r>
        <w:t>8</w:t>
      </w:r>
      <w:r w:rsidR="00656C86" w:rsidRPr="00656C86">
        <w:rPr>
          <w:noProof/>
        </w:rPr>
        <w:t xml:space="preserve"> </w:t>
      </w:r>
      <w:r w:rsidR="00656C86">
        <w:rPr>
          <w:noProof/>
        </w:rPr>
        <w:drawing>
          <wp:inline distT="0" distB="0" distL="0" distR="0" wp14:anchorId="780F091A" wp14:editId="73DD2A92">
            <wp:extent cx="2540000" cy="7302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73025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261"/>
        <w:gridCol w:w="5249"/>
      </w:tblGrid>
      <w:tr w:rsidR="005E6647" w14:paraId="2B42B3CE" w14:textId="77777777" w:rsidTr="00062275">
        <w:trPr>
          <w:tblHeader/>
        </w:trPr>
        <w:tc>
          <w:tcPr>
            <w:tcW w:w="3261" w:type="dxa"/>
            <w:tcBorders>
              <w:bottom w:val="single" w:sz="18" w:space="0" w:color="auto"/>
            </w:tcBorders>
          </w:tcPr>
          <w:p w14:paraId="4403998B" w14:textId="77777777" w:rsidR="005E6647" w:rsidRPr="00B805DB" w:rsidRDefault="005E6647" w:rsidP="00F8162E">
            <w:pPr>
              <w:pStyle w:val="Heading1"/>
              <w:spacing w:after="240"/>
            </w:pPr>
            <w:r>
              <w:t>Report f</w:t>
            </w:r>
            <w:r w:rsidRPr="00C869F3">
              <w:t>or:</w:t>
            </w:r>
          </w:p>
        </w:tc>
        <w:tc>
          <w:tcPr>
            <w:tcW w:w="5249" w:type="dxa"/>
            <w:tcBorders>
              <w:bottom w:val="single" w:sz="18" w:space="0" w:color="auto"/>
            </w:tcBorders>
          </w:tcPr>
          <w:p w14:paraId="59263EC3" w14:textId="77777777" w:rsidR="005E6647" w:rsidRPr="00A160B2" w:rsidRDefault="005E6647" w:rsidP="00F8162E">
            <w:pPr>
              <w:pStyle w:val="Heading1"/>
              <w:rPr>
                <w:color w:val="0000FF"/>
                <w:szCs w:val="24"/>
              </w:rPr>
            </w:pPr>
            <w:r w:rsidRPr="00B94678">
              <w:t>GOVERNANCE, AUDIT, RISK MANAGEMENT AND STANDARDS COMMITTEE</w:t>
            </w:r>
            <w:r w:rsidRPr="00A160B2">
              <w:rPr>
                <w:color w:val="0000FF"/>
              </w:rPr>
              <w:t xml:space="preserve"> </w:t>
            </w:r>
          </w:p>
        </w:tc>
      </w:tr>
      <w:tr w:rsidR="005E6647" w14:paraId="59518254" w14:textId="77777777" w:rsidTr="00062275">
        <w:tc>
          <w:tcPr>
            <w:tcW w:w="3261" w:type="dxa"/>
            <w:tcBorders>
              <w:top w:val="single" w:sz="18" w:space="0" w:color="auto"/>
            </w:tcBorders>
          </w:tcPr>
          <w:p w14:paraId="38F8AE11" w14:textId="77777777" w:rsidR="005E6647" w:rsidRPr="00F92398" w:rsidRDefault="005E6647" w:rsidP="00F8162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73A9FE9" w14:textId="77777777" w:rsidR="005E6647" w:rsidRPr="00F92398" w:rsidRDefault="005E6647" w:rsidP="00F8162E">
            <w:pPr>
              <w:pStyle w:val="Infotext"/>
              <w:rPr>
                <w:rFonts w:ascii="Arial Black" w:hAnsi="Arial Black" w:cs="Arial"/>
              </w:rPr>
            </w:pPr>
          </w:p>
        </w:tc>
        <w:tc>
          <w:tcPr>
            <w:tcW w:w="5249" w:type="dxa"/>
            <w:tcBorders>
              <w:top w:val="single" w:sz="18" w:space="0" w:color="auto"/>
            </w:tcBorders>
          </w:tcPr>
          <w:p w14:paraId="5F159066" w14:textId="1598B622" w:rsidR="005E6647" w:rsidRDefault="005E6647" w:rsidP="00F8162E">
            <w:pPr>
              <w:pStyle w:val="Infotext"/>
              <w:rPr>
                <w:rFonts w:cs="Arial"/>
              </w:rPr>
            </w:pPr>
            <w:r>
              <w:rPr>
                <w:rFonts w:cs="Arial"/>
              </w:rPr>
              <w:t>2</w:t>
            </w:r>
            <w:r w:rsidR="00CE32D0">
              <w:rPr>
                <w:rFonts w:cs="Arial"/>
              </w:rPr>
              <w:t>9</w:t>
            </w:r>
            <w:r>
              <w:rPr>
                <w:rFonts w:cs="Arial"/>
              </w:rPr>
              <w:t xml:space="preserve"> </w:t>
            </w:r>
            <w:r w:rsidR="009C711E">
              <w:rPr>
                <w:rFonts w:cs="Arial"/>
              </w:rPr>
              <w:t>November</w:t>
            </w:r>
            <w:r>
              <w:rPr>
                <w:rFonts w:cs="Arial"/>
              </w:rPr>
              <w:t xml:space="preserve"> 2023</w:t>
            </w:r>
          </w:p>
        </w:tc>
      </w:tr>
      <w:tr w:rsidR="005E6647" w14:paraId="5D1355BC" w14:textId="77777777" w:rsidTr="00062275">
        <w:tc>
          <w:tcPr>
            <w:tcW w:w="3261" w:type="dxa"/>
          </w:tcPr>
          <w:p w14:paraId="2701B239" w14:textId="77777777" w:rsidR="005E6647" w:rsidRPr="00F92398" w:rsidRDefault="005E6647" w:rsidP="00F8162E">
            <w:pPr>
              <w:pStyle w:val="Infotext"/>
              <w:rPr>
                <w:rFonts w:ascii="Arial Black" w:hAnsi="Arial Black" w:cs="Arial"/>
              </w:rPr>
            </w:pPr>
            <w:r w:rsidRPr="00F92398">
              <w:rPr>
                <w:rFonts w:ascii="Arial Black" w:hAnsi="Arial Black" w:cs="Arial"/>
              </w:rPr>
              <w:t>Subject:</w:t>
            </w:r>
          </w:p>
          <w:p w14:paraId="071F0928" w14:textId="77777777" w:rsidR="005E6647" w:rsidRPr="00F92398" w:rsidRDefault="005E6647" w:rsidP="00F8162E">
            <w:pPr>
              <w:pStyle w:val="Infotext"/>
              <w:rPr>
                <w:rFonts w:ascii="Arial Black" w:hAnsi="Arial Black"/>
              </w:rPr>
            </w:pPr>
          </w:p>
        </w:tc>
        <w:tc>
          <w:tcPr>
            <w:tcW w:w="5249" w:type="dxa"/>
          </w:tcPr>
          <w:p w14:paraId="6D9A8CAA" w14:textId="37921DEF" w:rsidR="005E6647" w:rsidRDefault="005E6647" w:rsidP="00F8162E">
            <w:pPr>
              <w:pStyle w:val="Infotext"/>
              <w:rPr>
                <w:rFonts w:cs="Arial"/>
              </w:rPr>
            </w:pPr>
            <w:r w:rsidRPr="000E14F4">
              <w:rPr>
                <w:rFonts w:cs="Arial"/>
              </w:rPr>
              <w:t>2021/22</w:t>
            </w:r>
            <w:r w:rsidR="00924014">
              <w:rPr>
                <w:rFonts w:cs="Arial"/>
              </w:rPr>
              <w:t xml:space="preserve"> Statement of Accounts </w:t>
            </w:r>
          </w:p>
        </w:tc>
      </w:tr>
      <w:tr w:rsidR="005E6647" w14:paraId="45646907" w14:textId="77777777" w:rsidTr="00062275">
        <w:tc>
          <w:tcPr>
            <w:tcW w:w="3261" w:type="dxa"/>
          </w:tcPr>
          <w:p w14:paraId="49CCF06D" w14:textId="77777777" w:rsidR="005E6647" w:rsidRPr="00F92398" w:rsidRDefault="005E6647" w:rsidP="00F8162E">
            <w:pPr>
              <w:pStyle w:val="Infotext"/>
              <w:rPr>
                <w:rFonts w:ascii="Arial Black" w:hAnsi="Arial Black" w:cs="Arial"/>
              </w:rPr>
            </w:pPr>
            <w:r w:rsidRPr="00F92398">
              <w:rPr>
                <w:rFonts w:ascii="Arial Black" w:hAnsi="Arial Black" w:cs="Arial"/>
              </w:rPr>
              <w:t>Responsible Officer:</w:t>
            </w:r>
          </w:p>
          <w:p w14:paraId="56306B59" w14:textId="77777777" w:rsidR="005E6647" w:rsidRPr="00F92398" w:rsidRDefault="005E6647" w:rsidP="00F8162E">
            <w:pPr>
              <w:pStyle w:val="Infotext"/>
              <w:rPr>
                <w:rFonts w:ascii="Arial Black" w:hAnsi="Arial Black" w:cs="Arial"/>
              </w:rPr>
            </w:pPr>
          </w:p>
        </w:tc>
        <w:tc>
          <w:tcPr>
            <w:tcW w:w="5249" w:type="dxa"/>
          </w:tcPr>
          <w:p w14:paraId="1A9328CD" w14:textId="4F431294" w:rsidR="005E6647" w:rsidRDefault="00924014" w:rsidP="00F8162E">
            <w:pPr>
              <w:pStyle w:val="Infotext"/>
              <w:rPr>
                <w:rFonts w:cs="Arial"/>
              </w:rPr>
            </w:pPr>
            <w:r>
              <w:rPr>
                <w:rFonts w:cs="Arial"/>
              </w:rPr>
              <w:t>Sharon Daniels</w:t>
            </w:r>
            <w:r w:rsidR="005E6647" w:rsidRPr="00B94678">
              <w:rPr>
                <w:rFonts w:cs="Arial"/>
              </w:rPr>
              <w:t xml:space="preserve">, </w:t>
            </w:r>
            <w:r>
              <w:rPr>
                <w:rFonts w:cs="Arial"/>
              </w:rPr>
              <w:t xml:space="preserve">Interim </w:t>
            </w:r>
            <w:r w:rsidR="005E6647" w:rsidRPr="00B94678">
              <w:rPr>
                <w:rFonts w:cs="Arial"/>
              </w:rPr>
              <w:t>Director of Finance and Assurance</w:t>
            </w:r>
          </w:p>
          <w:p w14:paraId="1A90F06E" w14:textId="77777777" w:rsidR="005E6647" w:rsidRDefault="005E6647" w:rsidP="00F8162E">
            <w:pPr>
              <w:pStyle w:val="Infotext"/>
              <w:rPr>
                <w:rFonts w:cs="Arial"/>
              </w:rPr>
            </w:pPr>
          </w:p>
        </w:tc>
      </w:tr>
      <w:tr w:rsidR="005E6647" w14:paraId="52A003B7" w14:textId="77777777" w:rsidTr="00062275">
        <w:tc>
          <w:tcPr>
            <w:tcW w:w="3261" w:type="dxa"/>
          </w:tcPr>
          <w:p w14:paraId="381E0CCE" w14:textId="77777777" w:rsidR="005E6647" w:rsidRPr="00F92398" w:rsidRDefault="005E6647" w:rsidP="00F8162E">
            <w:pPr>
              <w:pStyle w:val="Infotext"/>
              <w:rPr>
                <w:rFonts w:ascii="Arial Black" w:hAnsi="Arial Black" w:cs="Arial"/>
              </w:rPr>
            </w:pPr>
            <w:r w:rsidRPr="00F92398">
              <w:rPr>
                <w:rFonts w:ascii="Arial Black" w:hAnsi="Arial Black" w:cs="Arial"/>
              </w:rPr>
              <w:t>Exempt:</w:t>
            </w:r>
          </w:p>
          <w:p w14:paraId="73DE1DD0" w14:textId="77777777" w:rsidR="005E6647" w:rsidRPr="00F92398" w:rsidRDefault="005E6647" w:rsidP="00F8162E">
            <w:pPr>
              <w:pStyle w:val="Infotext"/>
              <w:rPr>
                <w:rFonts w:ascii="Arial Black" w:hAnsi="Arial Black" w:cs="Arial"/>
              </w:rPr>
            </w:pPr>
          </w:p>
        </w:tc>
        <w:tc>
          <w:tcPr>
            <w:tcW w:w="5249" w:type="dxa"/>
          </w:tcPr>
          <w:p w14:paraId="2B2AB2BE" w14:textId="77777777" w:rsidR="005E6647" w:rsidRDefault="005E6647" w:rsidP="00F8162E">
            <w:pPr>
              <w:pStyle w:val="Infotext"/>
              <w:rPr>
                <w:rFonts w:cs="Arial"/>
              </w:rPr>
            </w:pPr>
            <w:r>
              <w:rPr>
                <w:rFonts w:cs="Arial"/>
              </w:rPr>
              <w:t>No</w:t>
            </w:r>
          </w:p>
          <w:p w14:paraId="2017F85E" w14:textId="77777777" w:rsidR="005E6647" w:rsidRDefault="005E6647" w:rsidP="00F8162E">
            <w:pPr>
              <w:pStyle w:val="Infotext"/>
              <w:rPr>
                <w:rFonts w:cs="Arial"/>
              </w:rPr>
            </w:pPr>
          </w:p>
        </w:tc>
      </w:tr>
      <w:tr w:rsidR="005E6647" w14:paraId="2F142FFC" w14:textId="77777777" w:rsidTr="00062275">
        <w:tc>
          <w:tcPr>
            <w:tcW w:w="3261" w:type="dxa"/>
          </w:tcPr>
          <w:p w14:paraId="5FBB6DF4" w14:textId="77777777" w:rsidR="005E6647" w:rsidRPr="00F92398" w:rsidRDefault="005E6647" w:rsidP="00F8162E">
            <w:pPr>
              <w:pStyle w:val="Infotext"/>
              <w:rPr>
                <w:rFonts w:ascii="Arial Black" w:hAnsi="Arial Black" w:cs="Arial"/>
              </w:rPr>
            </w:pPr>
            <w:r>
              <w:rPr>
                <w:rFonts w:ascii="Arial Black" w:hAnsi="Arial Black" w:cs="Arial"/>
              </w:rPr>
              <w:t>Wards affected:</w:t>
            </w:r>
          </w:p>
        </w:tc>
        <w:tc>
          <w:tcPr>
            <w:tcW w:w="5249" w:type="dxa"/>
          </w:tcPr>
          <w:p w14:paraId="347607C0" w14:textId="77777777" w:rsidR="005E6647" w:rsidRDefault="005E6647" w:rsidP="00F8162E">
            <w:pPr>
              <w:pStyle w:val="Infotext"/>
            </w:pPr>
            <w:r>
              <w:rPr>
                <w:rFonts w:cs="Arial"/>
                <w:szCs w:val="24"/>
              </w:rPr>
              <w:t>All</w:t>
            </w:r>
          </w:p>
        </w:tc>
      </w:tr>
      <w:tr w:rsidR="005E6647" w14:paraId="39AEEC1D" w14:textId="77777777" w:rsidTr="00062275">
        <w:tc>
          <w:tcPr>
            <w:tcW w:w="3261" w:type="dxa"/>
          </w:tcPr>
          <w:p w14:paraId="3481AB38" w14:textId="77777777" w:rsidR="005E6647" w:rsidRPr="00F92398" w:rsidRDefault="005E6647" w:rsidP="00F8162E">
            <w:pPr>
              <w:pStyle w:val="Infotext"/>
              <w:rPr>
                <w:rFonts w:ascii="Arial Black" w:hAnsi="Arial Black" w:cs="Arial"/>
              </w:rPr>
            </w:pPr>
          </w:p>
          <w:p w14:paraId="6D92408F" w14:textId="77777777" w:rsidR="005E6647" w:rsidRPr="00F92398" w:rsidRDefault="005E6647" w:rsidP="00F8162E">
            <w:pPr>
              <w:pStyle w:val="Infotext"/>
              <w:rPr>
                <w:rFonts w:ascii="Arial Black" w:hAnsi="Arial Black" w:cs="Arial"/>
              </w:rPr>
            </w:pPr>
            <w:r w:rsidRPr="00F92398">
              <w:rPr>
                <w:rFonts w:ascii="Arial Black" w:hAnsi="Arial Black" w:cs="Arial"/>
              </w:rPr>
              <w:t>Enclosures:</w:t>
            </w:r>
          </w:p>
          <w:p w14:paraId="1EC39727" w14:textId="77777777" w:rsidR="005E6647" w:rsidRPr="00F92398" w:rsidRDefault="005E6647" w:rsidP="00F8162E">
            <w:pPr>
              <w:pStyle w:val="Infotext"/>
              <w:rPr>
                <w:rFonts w:ascii="Arial Black" w:hAnsi="Arial Black" w:cs="Arial"/>
              </w:rPr>
            </w:pPr>
          </w:p>
        </w:tc>
        <w:tc>
          <w:tcPr>
            <w:tcW w:w="5249" w:type="dxa"/>
          </w:tcPr>
          <w:p w14:paraId="508A678B" w14:textId="77777777" w:rsidR="005E6647" w:rsidRDefault="005E6647" w:rsidP="00F8162E">
            <w:pPr>
              <w:pStyle w:val="Infotext"/>
            </w:pPr>
          </w:p>
          <w:p w14:paraId="7FBB9783" w14:textId="20747288" w:rsidR="005E6647" w:rsidRDefault="00A322DF" w:rsidP="00F8162E">
            <w:pPr>
              <w:pStyle w:val="Infotext"/>
              <w:rPr>
                <w:rFonts w:cs="Arial"/>
              </w:rPr>
            </w:pPr>
            <w:bookmarkStart w:id="0" w:name="_Hlk151129205"/>
            <w:r>
              <w:rPr>
                <w:rFonts w:cs="Arial"/>
              </w:rPr>
              <w:t xml:space="preserve">Appendix 1: </w:t>
            </w:r>
            <w:r w:rsidR="00924014" w:rsidRPr="000E14F4">
              <w:rPr>
                <w:rFonts w:cs="Arial"/>
              </w:rPr>
              <w:t>2021/22</w:t>
            </w:r>
            <w:r w:rsidR="00924014">
              <w:rPr>
                <w:rFonts w:cs="Arial"/>
              </w:rPr>
              <w:t xml:space="preserve"> Statement of Accounts </w:t>
            </w:r>
          </w:p>
          <w:p w14:paraId="2E5A98A9" w14:textId="22959E5D" w:rsidR="00D03DC6" w:rsidRDefault="00D03DC6" w:rsidP="00F8162E">
            <w:pPr>
              <w:pStyle w:val="Infotext"/>
              <w:rPr>
                <w:rFonts w:cs="Arial"/>
              </w:rPr>
            </w:pPr>
            <w:r>
              <w:rPr>
                <w:rFonts w:cs="Arial"/>
              </w:rPr>
              <w:t>Appendix 2: Pension Fund Annual Report 2021-22</w:t>
            </w:r>
          </w:p>
          <w:p w14:paraId="1808D222" w14:textId="78622E54" w:rsidR="002540E6" w:rsidRDefault="002540E6" w:rsidP="00F8162E">
            <w:pPr>
              <w:pStyle w:val="Infotext"/>
            </w:pPr>
            <w:r w:rsidRPr="00B472CF">
              <w:rPr>
                <w:rFonts w:cs="Arial"/>
              </w:rPr>
              <w:t xml:space="preserve">Appendix </w:t>
            </w:r>
            <w:r w:rsidR="00D03DC6" w:rsidRPr="00B472CF">
              <w:rPr>
                <w:rFonts w:cs="Arial"/>
              </w:rPr>
              <w:t>3</w:t>
            </w:r>
            <w:r w:rsidR="003D0806">
              <w:rPr>
                <w:rFonts w:cs="Arial"/>
              </w:rPr>
              <w:t>A</w:t>
            </w:r>
            <w:r w:rsidRPr="00B472CF">
              <w:rPr>
                <w:rFonts w:cs="Arial"/>
              </w:rPr>
              <w:t xml:space="preserve">: </w:t>
            </w:r>
            <w:r w:rsidR="00D651A5" w:rsidRPr="00B472CF">
              <w:rPr>
                <w:rFonts w:cs="Arial"/>
              </w:rPr>
              <w:t xml:space="preserve">LBH </w:t>
            </w:r>
            <w:r w:rsidR="009C711E" w:rsidRPr="00B472CF">
              <w:t xml:space="preserve">Completion </w:t>
            </w:r>
            <w:r w:rsidR="00D651A5" w:rsidRPr="00B472CF">
              <w:t>Update</w:t>
            </w:r>
            <w:r w:rsidRPr="00B472CF">
              <w:t xml:space="preserve"> 2021/22</w:t>
            </w:r>
            <w:r w:rsidR="00D03DC6" w:rsidRPr="00B472CF">
              <w:t xml:space="preserve"> </w:t>
            </w:r>
          </w:p>
          <w:p w14:paraId="69983C28" w14:textId="3686C760" w:rsidR="003D0806" w:rsidRDefault="003D0806" w:rsidP="00F8162E">
            <w:pPr>
              <w:pStyle w:val="Infotext"/>
            </w:pPr>
            <w:r>
              <w:t xml:space="preserve">Appendix 3B: </w:t>
            </w:r>
            <w:r w:rsidR="00062275">
              <w:t xml:space="preserve">Previous LBH </w:t>
            </w:r>
            <w:r>
              <w:t>Audit Completion</w:t>
            </w:r>
            <w:r w:rsidR="00062275">
              <w:t xml:space="preserve"> Report (May 2023) </w:t>
            </w:r>
          </w:p>
          <w:p w14:paraId="6B9B6C5D" w14:textId="513ECF04" w:rsidR="00062275" w:rsidRPr="00B472CF" w:rsidRDefault="00062275" w:rsidP="00F8162E">
            <w:pPr>
              <w:pStyle w:val="Infotext"/>
            </w:pPr>
            <w:r>
              <w:t>Appendix 3C: LBH Draft Audit Opinion</w:t>
            </w:r>
          </w:p>
          <w:p w14:paraId="67144E54" w14:textId="7198AA7C" w:rsidR="00AC7AFA" w:rsidRDefault="00AC7AFA" w:rsidP="00F8162E">
            <w:pPr>
              <w:pStyle w:val="Infotext"/>
            </w:pPr>
            <w:r w:rsidRPr="00B472CF">
              <w:t>Appendix 4</w:t>
            </w:r>
            <w:r w:rsidR="003D0806">
              <w:t>A</w:t>
            </w:r>
            <w:r w:rsidRPr="00B472CF">
              <w:t xml:space="preserve">: </w:t>
            </w:r>
            <w:r w:rsidR="002967BE" w:rsidRPr="00B472CF">
              <w:rPr>
                <w:rFonts w:cs="Arial"/>
              </w:rPr>
              <w:t>Pension Fund</w:t>
            </w:r>
            <w:r w:rsidR="00D651A5" w:rsidRPr="00B472CF">
              <w:rPr>
                <w:rFonts w:cs="Arial"/>
              </w:rPr>
              <w:t xml:space="preserve"> </w:t>
            </w:r>
            <w:r w:rsidR="00D651A5" w:rsidRPr="00B472CF">
              <w:t>Completion Update 2021/22</w:t>
            </w:r>
          </w:p>
          <w:p w14:paraId="20C3D7E9" w14:textId="4447C0F9" w:rsidR="00062275" w:rsidRDefault="00062275" w:rsidP="00062275">
            <w:pPr>
              <w:pStyle w:val="Infotext"/>
            </w:pPr>
            <w:r>
              <w:t xml:space="preserve">Appendix 4B: Previous Pension Fund Audit Completion Report (June 2023) </w:t>
            </w:r>
          </w:p>
          <w:p w14:paraId="143ECD81" w14:textId="44EC9439" w:rsidR="00062275" w:rsidRPr="00B472CF" w:rsidRDefault="00062275" w:rsidP="00062275">
            <w:pPr>
              <w:pStyle w:val="Infotext"/>
            </w:pPr>
            <w:r>
              <w:t>Appendix 4C: Pension Fund Draft Audit Opinion</w:t>
            </w:r>
          </w:p>
          <w:p w14:paraId="47442399" w14:textId="2DA6B2EE" w:rsidR="006C69CC" w:rsidRDefault="006C69CC" w:rsidP="00F8162E">
            <w:pPr>
              <w:pStyle w:val="Infotext"/>
            </w:pPr>
            <w:r>
              <w:t xml:space="preserve">Appendix 5: </w:t>
            </w:r>
            <w:r w:rsidR="00B1021F">
              <w:t>Auditor’s Annual Report 2020/21 &amp; 2021/22 (DRAFT)</w:t>
            </w:r>
          </w:p>
          <w:bookmarkEnd w:id="0"/>
          <w:p w14:paraId="68B3180F" w14:textId="60553912" w:rsidR="00D03DC6" w:rsidRDefault="00D03DC6" w:rsidP="002967BE">
            <w:pPr>
              <w:pStyle w:val="Infotext"/>
            </w:pPr>
          </w:p>
        </w:tc>
      </w:tr>
    </w:tbl>
    <w:p w14:paraId="5F952DAE" w14:textId="77777777" w:rsidR="005E6647" w:rsidRDefault="005E6647" w:rsidP="005E664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5E6647" w14:paraId="01414C52" w14:textId="77777777" w:rsidTr="00F8162E">
        <w:trPr>
          <w:tblHeader/>
        </w:trPr>
        <w:tc>
          <w:tcPr>
            <w:tcW w:w="8525" w:type="dxa"/>
            <w:tcBorders>
              <w:top w:val="nil"/>
              <w:left w:val="nil"/>
              <w:bottom w:val="single" w:sz="4" w:space="0" w:color="auto"/>
              <w:right w:val="nil"/>
            </w:tcBorders>
          </w:tcPr>
          <w:p w14:paraId="79064992" w14:textId="77777777" w:rsidR="005E6647" w:rsidRDefault="005E6647" w:rsidP="00F8162E">
            <w:pPr>
              <w:pStyle w:val="Heading2"/>
              <w:spacing w:before="240" w:after="240"/>
            </w:pPr>
            <w:r>
              <w:t>Section 1 – Summary and Recommendations</w:t>
            </w:r>
          </w:p>
        </w:tc>
      </w:tr>
      <w:tr w:rsidR="005E6647" w14:paraId="169D74FB" w14:textId="77777777" w:rsidTr="00F8162E">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5E6647" w:rsidRPr="00422173" w14:paraId="5B74E0C9" w14:textId="77777777" w:rsidTr="00F8162E">
              <w:tc>
                <w:tcPr>
                  <w:tcW w:w="8525" w:type="dxa"/>
                </w:tcPr>
                <w:p w14:paraId="41199704" w14:textId="77777777" w:rsidR="005E6647" w:rsidRPr="00422173" w:rsidRDefault="005E6647" w:rsidP="00F8162E"/>
                <w:p w14:paraId="22748356" w14:textId="671B6474" w:rsidR="00992C5D" w:rsidRDefault="00992C5D" w:rsidP="00F8162E">
                  <w:pPr>
                    <w:jc w:val="both"/>
                  </w:pPr>
                  <w:r>
                    <w:t xml:space="preserve">This report presents the audited Statement of Accounts for </w:t>
                  </w:r>
                  <w:r w:rsidR="00FC243D">
                    <w:t>2021-22</w:t>
                  </w:r>
                  <w:r w:rsidR="003B72C8">
                    <w:t xml:space="preserve"> </w:t>
                  </w:r>
                  <w:r>
                    <w:t>subject to the issue of the audit opinion.</w:t>
                  </w:r>
                </w:p>
                <w:p w14:paraId="11C6BC8A" w14:textId="77777777" w:rsidR="00992C5D" w:rsidRDefault="00992C5D" w:rsidP="00F8162E">
                  <w:pPr>
                    <w:jc w:val="both"/>
                  </w:pPr>
                </w:p>
                <w:p w14:paraId="5FEFA3C5" w14:textId="77777777" w:rsidR="00992C5D" w:rsidRPr="00992C5D" w:rsidRDefault="00992C5D" w:rsidP="00F8162E">
                  <w:pPr>
                    <w:jc w:val="both"/>
                    <w:rPr>
                      <w:b/>
                      <w:bCs/>
                    </w:rPr>
                  </w:pPr>
                  <w:r w:rsidRPr="00992C5D">
                    <w:rPr>
                      <w:b/>
                      <w:bCs/>
                    </w:rPr>
                    <w:t xml:space="preserve">Recommendations: </w:t>
                  </w:r>
                </w:p>
                <w:p w14:paraId="1FC55DB2" w14:textId="77777777" w:rsidR="00992C5D" w:rsidRDefault="00992C5D" w:rsidP="00F8162E">
                  <w:pPr>
                    <w:jc w:val="both"/>
                  </w:pPr>
                  <w:r>
                    <w:t xml:space="preserve">The GARMS committee is requested </w:t>
                  </w:r>
                  <w:proofErr w:type="gramStart"/>
                  <w:r>
                    <w:t>to :</w:t>
                  </w:r>
                  <w:proofErr w:type="gramEnd"/>
                  <w:r>
                    <w:t xml:space="preserve"> </w:t>
                  </w:r>
                </w:p>
                <w:p w14:paraId="5E5E37CC" w14:textId="46457907" w:rsidR="00992C5D" w:rsidRDefault="00992C5D" w:rsidP="00F8162E">
                  <w:pPr>
                    <w:jc w:val="both"/>
                  </w:pPr>
                  <w:r>
                    <w:t xml:space="preserve">1. Consider the Audit Completion </w:t>
                  </w:r>
                  <w:r w:rsidR="00D81522">
                    <w:t>Updates</w:t>
                  </w:r>
                  <w:r>
                    <w:t xml:space="preserve"> of the External Auditor on matters arising from the audit of the Statement of Accounts 202</w:t>
                  </w:r>
                  <w:r w:rsidR="005342A6">
                    <w:t>1</w:t>
                  </w:r>
                  <w:r>
                    <w:t>- 2</w:t>
                  </w:r>
                  <w:r w:rsidR="005342A6">
                    <w:t>2</w:t>
                  </w:r>
                  <w:r>
                    <w:t xml:space="preserve"> and the Pension Fund Annual Report </w:t>
                  </w:r>
                  <w:proofErr w:type="gramStart"/>
                  <w:r>
                    <w:t>202</w:t>
                  </w:r>
                  <w:r w:rsidR="005342A6">
                    <w:t>1</w:t>
                  </w:r>
                  <w:r>
                    <w:t>-2</w:t>
                  </w:r>
                  <w:r w:rsidR="005342A6">
                    <w:t>2</w:t>
                  </w:r>
                  <w:r>
                    <w:t>;</w:t>
                  </w:r>
                  <w:proofErr w:type="gramEnd"/>
                  <w:r>
                    <w:t xml:space="preserve"> </w:t>
                  </w:r>
                </w:p>
                <w:p w14:paraId="1C2541AD" w14:textId="52439AAB" w:rsidR="00992C5D" w:rsidRDefault="00992C5D" w:rsidP="00F8162E">
                  <w:pPr>
                    <w:jc w:val="both"/>
                  </w:pPr>
                  <w:r>
                    <w:t>2. Approve the audited Statement of Accounts 202</w:t>
                  </w:r>
                  <w:r w:rsidR="005342A6">
                    <w:t>1</w:t>
                  </w:r>
                  <w:r>
                    <w:t>-2</w:t>
                  </w:r>
                  <w:r w:rsidR="005342A6">
                    <w:t>2</w:t>
                  </w:r>
                  <w:r>
                    <w:t xml:space="preserve"> and authorise the signing thereof by the Chair</w:t>
                  </w:r>
                  <w:r w:rsidR="00561688">
                    <w:t>.</w:t>
                  </w:r>
                </w:p>
                <w:p w14:paraId="4DC52353" w14:textId="63D606DE" w:rsidR="00992C5D" w:rsidRDefault="00992C5D" w:rsidP="00F8162E">
                  <w:pPr>
                    <w:jc w:val="both"/>
                  </w:pPr>
                  <w:r>
                    <w:t xml:space="preserve">3. Note the Pension Fund Annual Report </w:t>
                  </w:r>
                  <w:proofErr w:type="gramStart"/>
                  <w:r>
                    <w:t>202</w:t>
                  </w:r>
                  <w:r w:rsidR="005342A6">
                    <w:t>1</w:t>
                  </w:r>
                  <w:r>
                    <w:t>-2</w:t>
                  </w:r>
                  <w:r w:rsidR="005342A6">
                    <w:t>2</w:t>
                  </w:r>
                  <w:r>
                    <w:t>;</w:t>
                  </w:r>
                  <w:proofErr w:type="gramEnd"/>
                  <w:r>
                    <w:t xml:space="preserve"> </w:t>
                  </w:r>
                </w:p>
                <w:p w14:paraId="6A7371FB" w14:textId="2897BDBC" w:rsidR="00992C5D" w:rsidRDefault="00992C5D" w:rsidP="00F8162E">
                  <w:pPr>
                    <w:jc w:val="both"/>
                  </w:pPr>
                  <w:r>
                    <w:t>4. Authorise the Director of Finance and Assurance, following consultation with the Chair, to make any final minor amendments to the Statement of Accounts 202</w:t>
                  </w:r>
                  <w:r w:rsidR="005342A6">
                    <w:t>1</w:t>
                  </w:r>
                  <w:r>
                    <w:t>-2</w:t>
                  </w:r>
                  <w:r w:rsidR="005342A6">
                    <w:t>2</w:t>
                  </w:r>
                  <w:r>
                    <w:t xml:space="preserve"> and Pension Fund Annual Report 202</w:t>
                  </w:r>
                  <w:r w:rsidR="005342A6">
                    <w:t>1</w:t>
                  </w:r>
                  <w:r>
                    <w:t>-2</w:t>
                  </w:r>
                  <w:r w:rsidR="005342A6">
                    <w:t>2</w:t>
                  </w:r>
                  <w:r>
                    <w:t xml:space="preserve"> arising from the external audit prior to the signing by the </w:t>
                  </w:r>
                  <w:proofErr w:type="gramStart"/>
                  <w:r>
                    <w:t>auditor;</w:t>
                  </w:r>
                  <w:proofErr w:type="gramEnd"/>
                  <w:r>
                    <w:t xml:space="preserve"> </w:t>
                  </w:r>
                </w:p>
                <w:p w14:paraId="4F4B6DE6" w14:textId="77777777" w:rsidR="00992C5D" w:rsidRDefault="00992C5D" w:rsidP="00F8162E">
                  <w:pPr>
                    <w:jc w:val="both"/>
                  </w:pPr>
                </w:p>
                <w:p w14:paraId="16F8AB29" w14:textId="77777777" w:rsidR="006D6215" w:rsidRDefault="00992C5D" w:rsidP="00F8162E">
                  <w:pPr>
                    <w:jc w:val="both"/>
                  </w:pPr>
                  <w:r w:rsidRPr="00992C5D">
                    <w:rPr>
                      <w:b/>
                      <w:bCs/>
                    </w:rPr>
                    <w:t>Reason</w:t>
                  </w:r>
                  <w:r>
                    <w:t xml:space="preserve">: </w:t>
                  </w:r>
                </w:p>
                <w:p w14:paraId="05BB7EBF" w14:textId="77777777" w:rsidR="005E6647" w:rsidRDefault="00992C5D" w:rsidP="00F8162E">
                  <w:pPr>
                    <w:jc w:val="both"/>
                  </w:pPr>
                  <w:r>
                    <w:t>Under the Accounts and Audit Regulations 2015 the Statement of Accounts must be approved by a committee of Members. Once approval has been given, the Chair of the Committee is required to sign and date the Statement of Accounts.</w:t>
                  </w:r>
                </w:p>
                <w:p w14:paraId="5EA0D76A" w14:textId="002AD1B3" w:rsidR="0027108F" w:rsidRPr="00422173" w:rsidRDefault="0027108F" w:rsidP="00F8162E">
                  <w:pPr>
                    <w:jc w:val="both"/>
                    <w:rPr>
                      <w:rFonts w:cs="Arial"/>
                    </w:rPr>
                  </w:pPr>
                </w:p>
              </w:tc>
            </w:tr>
          </w:tbl>
          <w:p w14:paraId="2DE072B6" w14:textId="77777777" w:rsidR="005E6647" w:rsidRDefault="005E6647" w:rsidP="00F8162E"/>
        </w:tc>
      </w:tr>
    </w:tbl>
    <w:p w14:paraId="319D71E3" w14:textId="77777777" w:rsidR="005E6647" w:rsidRDefault="005E6647" w:rsidP="005E6647">
      <w:pPr>
        <w:pStyle w:val="Heading2"/>
      </w:pPr>
      <w:r>
        <w:t>Section 2 – Report</w:t>
      </w:r>
    </w:p>
    <w:p w14:paraId="0026EDDB" w14:textId="772C6684" w:rsidR="005E6647" w:rsidRPr="00190601" w:rsidRDefault="005E6647" w:rsidP="005E6647">
      <w:pPr>
        <w:spacing w:before="120"/>
        <w:rPr>
          <w:rFonts w:cs="Arial"/>
          <w:b/>
          <w:bCs/>
          <w:szCs w:val="24"/>
        </w:rPr>
      </w:pPr>
      <w:r w:rsidRPr="00190601">
        <w:rPr>
          <w:rFonts w:cs="Arial"/>
          <w:b/>
          <w:bCs/>
          <w:szCs w:val="24"/>
        </w:rPr>
        <w:t>202</w:t>
      </w:r>
      <w:r w:rsidR="00EE0BFE" w:rsidRPr="00190601">
        <w:rPr>
          <w:rFonts w:cs="Arial"/>
          <w:b/>
          <w:bCs/>
          <w:szCs w:val="24"/>
        </w:rPr>
        <w:t>1</w:t>
      </w:r>
      <w:r w:rsidRPr="00190601">
        <w:rPr>
          <w:rFonts w:cs="Arial"/>
          <w:b/>
          <w:bCs/>
          <w:szCs w:val="24"/>
        </w:rPr>
        <w:t>/2</w:t>
      </w:r>
      <w:r w:rsidR="00EE0BFE" w:rsidRPr="00190601">
        <w:rPr>
          <w:rFonts w:cs="Arial"/>
          <w:b/>
          <w:bCs/>
          <w:szCs w:val="24"/>
        </w:rPr>
        <w:t>2</w:t>
      </w:r>
      <w:r w:rsidR="000B603D" w:rsidRPr="00190601">
        <w:rPr>
          <w:rFonts w:cs="Arial"/>
          <w:b/>
          <w:bCs/>
          <w:szCs w:val="24"/>
        </w:rPr>
        <w:t xml:space="preserve"> Statement of Accounts</w:t>
      </w:r>
      <w:r w:rsidR="00C909C2" w:rsidRPr="00190601">
        <w:rPr>
          <w:rFonts w:cs="Arial"/>
          <w:b/>
          <w:bCs/>
          <w:szCs w:val="24"/>
        </w:rPr>
        <w:t xml:space="preserve"> </w:t>
      </w:r>
      <w:r w:rsidR="00703F6D">
        <w:rPr>
          <w:rFonts w:cs="Arial"/>
          <w:b/>
          <w:bCs/>
          <w:szCs w:val="24"/>
        </w:rPr>
        <w:t>(Appendix 1)</w:t>
      </w:r>
    </w:p>
    <w:p w14:paraId="6AA7F366" w14:textId="1FF3F6C2" w:rsidR="005E6647" w:rsidRPr="004A503E" w:rsidRDefault="005E6647" w:rsidP="005E6647">
      <w:pPr>
        <w:pStyle w:val="ListParagraph"/>
        <w:numPr>
          <w:ilvl w:val="0"/>
          <w:numId w:val="1"/>
        </w:numPr>
        <w:spacing w:before="120"/>
        <w:rPr>
          <w:sz w:val="24"/>
          <w:szCs w:val="24"/>
        </w:rPr>
      </w:pPr>
      <w:r w:rsidRPr="004A503E">
        <w:rPr>
          <w:sz w:val="24"/>
          <w:szCs w:val="24"/>
        </w:rP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Following the Coronavirus </w:t>
      </w:r>
      <w:proofErr w:type="gramStart"/>
      <w:r w:rsidRPr="004A503E">
        <w:rPr>
          <w:sz w:val="24"/>
          <w:szCs w:val="24"/>
        </w:rPr>
        <w:t>pandemic</w:t>
      </w:r>
      <w:proofErr w:type="gramEnd"/>
      <w:r w:rsidRPr="004A503E">
        <w:rPr>
          <w:sz w:val="24"/>
          <w:szCs w:val="24"/>
        </w:rPr>
        <w:t xml:space="preserve"> the legislative requirements have been relaxed and this has continued for 2021- 22. The Accounts and Audit (Amendment) Regulations 202</w:t>
      </w:r>
      <w:r w:rsidR="00D81522">
        <w:rPr>
          <w:sz w:val="24"/>
          <w:szCs w:val="24"/>
        </w:rPr>
        <w:t>1</w:t>
      </w:r>
      <w:r w:rsidRPr="004A503E">
        <w:rPr>
          <w:sz w:val="24"/>
          <w:szCs w:val="24"/>
        </w:rPr>
        <w:t xml:space="preserve"> (SI 202</w:t>
      </w:r>
      <w:r w:rsidR="00D81522">
        <w:rPr>
          <w:sz w:val="24"/>
          <w:szCs w:val="24"/>
        </w:rPr>
        <w:t>1</w:t>
      </w:r>
      <w:r w:rsidRPr="004A503E">
        <w:rPr>
          <w:sz w:val="24"/>
          <w:szCs w:val="24"/>
        </w:rPr>
        <w:t>/</w:t>
      </w:r>
      <w:r w:rsidR="00D81522">
        <w:rPr>
          <w:sz w:val="24"/>
          <w:szCs w:val="24"/>
        </w:rPr>
        <w:t>263</w:t>
      </w:r>
      <w:r w:rsidRPr="004A503E">
        <w:rPr>
          <w:sz w:val="24"/>
          <w:szCs w:val="24"/>
        </w:rPr>
        <w:t>) revised the deadlines to 31st July 2022 for the draft accounts and 30th November 2022 for the audited accounts.</w:t>
      </w:r>
    </w:p>
    <w:p w14:paraId="4831797B" w14:textId="4ECBD3E5" w:rsidR="005E6647" w:rsidRDefault="005E6647" w:rsidP="005E6647">
      <w:pPr>
        <w:pStyle w:val="ListParagraph"/>
        <w:numPr>
          <w:ilvl w:val="0"/>
          <w:numId w:val="1"/>
        </w:numPr>
        <w:spacing w:before="120"/>
        <w:rPr>
          <w:sz w:val="24"/>
          <w:szCs w:val="24"/>
        </w:rPr>
      </w:pPr>
      <w:r w:rsidRPr="004A503E">
        <w:rPr>
          <w:sz w:val="24"/>
          <w:szCs w:val="24"/>
        </w:rPr>
        <w:t>Whilst the draft accounts were published by the 31</w:t>
      </w:r>
      <w:r w:rsidRPr="004A503E">
        <w:rPr>
          <w:sz w:val="24"/>
          <w:szCs w:val="24"/>
          <w:vertAlign w:val="superscript"/>
        </w:rPr>
        <w:t>st</w:t>
      </w:r>
      <w:r w:rsidRPr="004A503E">
        <w:rPr>
          <w:sz w:val="24"/>
          <w:szCs w:val="24"/>
        </w:rPr>
        <w:t xml:space="preserve"> of July 2022, the deadline for the audited accounts (30</w:t>
      </w:r>
      <w:r w:rsidRPr="004A503E">
        <w:rPr>
          <w:sz w:val="24"/>
          <w:szCs w:val="24"/>
          <w:vertAlign w:val="superscript"/>
        </w:rPr>
        <w:t>th</w:t>
      </w:r>
      <w:r w:rsidRPr="004A503E">
        <w:rPr>
          <w:sz w:val="24"/>
          <w:szCs w:val="24"/>
        </w:rPr>
        <w:t xml:space="preserve"> of November 2022) was not met as the auditors experienced delays in </w:t>
      </w:r>
      <w:r w:rsidR="003F7B81">
        <w:rPr>
          <w:sz w:val="24"/>
          <w:szCs w:val="24"/>
        </w:rPr>
        <w:t xml:space="preserve">finalising the audit work on </w:t>
      </w:r>
      <w:r w:rsidRPr="004A503E">
        <w:rPr>
          <w:sz w:val="24"/>
          <w:szCs w:val="24"/>
        </w:rPr>
        <w:t xml:space="preserve">the valuation of property, plant and equipment and investment property and there was a national issue in relation to accounting for infrastructure assets which impacted every local authority with material infrastructure balances. </w:t>
      </w:r>
    </w:p>
    <w:p w14:paraId="37B1AD28" w14:textId="4C6A460E" w:rsidR="007A3168" w:rsidRDefault="007A3168" w:rsidP="007A3168">
      <w:pPr>
        <w:pStyle w:val="ListParagraph"/>
        <w:numPr>
          <w:ilvl w:val="0"/>
          <w:numId w:val="1"/>
        </w:numPr>
        <w:spacing w:before="120"/>
        <w:rPr>
          <w:sz w:val="24"/>
          <w:szCs w:val="24"/>
        </w:rPr>
      </w:pPr>
      <w:r w:rsidRPr="004A503E">
        <w:rPr>
          <w:sz w:val="24"/>
          <w:szCs w:val="24"/>
        </w:rPr>
        <w:lastRenderedPageBreak/>
        <w:t xml:space="preserve">Due to the initially protracted nature of the 2021/22 audit arising from the impact of the implementation of the new ledger, issues with PPE and IP valuations </w:t>
      </w:r>
      <w:r w:rsidRPr="00977D33">
        <w:rPr>
          <w:sz w:val="24"/>
          <w:szCs w:val="24"/>
        </w:rPr>
        <w:t xml:space="preserve">and the national infrastructure issue, a new national issue </w:t>
      </w:r>
      <w:r w:rsidR="00527C70" w:rsidRPr="00977D33">
        <w:rPr>
          <w:sz w:val="24"/>
          <w:szCs w:val="24"/>
        </w:rPr>
        <w:t>arose</w:t>
      </w:r>
      <w:r w:rsidRPr="00977D33">
        <w:rPr>
          <w:sz w:val="24"/>
          <w:szCs w:val="24"/>
        </w:rPr>
        <w:t xml:space="preserve"> that </w:t>
      </w:r>
      <w:r w:rsidR="00527C70" w:rsidRPr="00977D33">
        <w:rPr>
          <w:sz w:val="24"/>
          <w:szCs w:val="24"/>
        </w:rPr>
        <w:t>delayed the</w:t>
      </w:r>
      <w:r w:rsidRPr="00977D33">
        <w:rPr>
          <w:sz w:val="24"/>
          <w:szCs w:val="24"/>
        </w:rPr>
        <w:t xml:space="preserve"> concluding </w:t>
      </w:r>
      <w:r w:rsidR="00527C70" w:rsidRPr="00977D33">
        <w:rPr>
          <w:sz w:val="24"/>
          <w:szCs w:val="24"/>
        </w:rPr>
        <w:t xml:space="preserve">of </w:t>
      </w:r>
      <w:r w:rsidRPr="00977D33">
        <w:rPr>
          <w:sz w:val="24"/>
          <w:szCs w:val="24"/>
        </w:rPr>
        <w:t>the audit. The issue relates to the Council’s reporting of its assets and liabilities associated to its membership of the Harrow Pension Fund.</w:t>
      </w:r>
    </w:p>
    <w:p w14:paraId="44C0A7C8" w14:textId="19B1933D" w:rsidR="007A3168" w:rsidRPr="00977D33" w:rsidRDefault="00D60BFC" w:rsidP="00977D33">
      <w:pPr>
        <w:pStyle w:val="ListParagraph"/>
        <w:numPr>
          <w:ilvl w:val="0"/>
          <w:numId w:val="1"/>
        </w:numPr>
        <w:spacing w:before="120"/>
        <w:rPr>
          <w:sz w:val="24"/>
          <w:szCs w:val="24"/>
        </w:rPr>
      </w:pPr>
      <w:r w:rsidRPr="00977D33">
        <w:rPr>
          <w:sz w:val="24"/>
          <w:szCs w:val="24"/>
        </w:rPr>
        <w:t xml:space="preserve">All audit work in the </w:t>
      </w:r>
      <w:r w:rsidR="007C7B51" w:rsidRPr="00977D33">
        <w:rPr>
          <w:sz w:val="24"/>
          <w:szCs w:val="24"/>
        </w:rPr>
        <w:t>above-mentioned</w:t>
      </w:r>
      <w:r w:rsidRPr="00977D33">
        <w:rPr>
          <w:sz w:val="24"/>
          <w:szCs w:val="24"/>
        </w:rPr>
        <w:t xml:space="preserve"> areas have now been completed and t</w:t>
      </w:r>
      <w:r w:rsidR="007A3168" w:rsidRPr="00977D33">
        <w:rPr>
          <w:sz w:val="24"/>
          <w:szCs w:val="24"/>
        </w:rPr>
        <w:t>he 2021/22 Statement of Accounts has been updated with all the agreed adjustments</w:t>
      </w:r>
      <w:r w:rsidR="00977D33" w:rsidRPr="00977D33">
        <w:rPr>
          <w:sz w:val="24"/>
          <w:szCs w:val="24"/>
        </w:rPr>
        <w:t xml:space="preserve">. </w:t>
      </w:r>
    </w:p>
    <w:p w14:paraId="1D757530" w14:textId="6D4E3329" w:rsidR="00393673" w:rsidRPr="000E25DF" w:rsidRDefault="007C7B51" w:rsidP="000E25DF">
      <w:pPr>
        <w:pStyle w:val="ListParagraph"/>
        <w:numPr>
          <w:ilvl w:val="0"/>
          <w:numId w:val="1"/>
        </w:numPr>
        <w:spacing w:before="120"/>
        <w:rPr>
          <w:sz w:val="24"/>
          <w:szCs w:val="24"/>
        </w:rPr>
      </w:pPr>
      <w:r>
        <w:rPr>
          <w:sz w:val="24"/>
          <w:szCs w:val="24"/>
        </w:rPr>
        <w:t>The</w:t>
      </w:r>
      <w:r w:rsidR="0027108F">
        <w:rPr>
          <w:sz w:val="24"/>
          <w:szCs w:val="24"/>
        </w:rPr>
        <w:t>re has been one further change since the September 2023 GARMS meeting</w:t>
      </w:r>
      <w:r w:rsidR="000E25DF">
        <w:rPr>
          <w:sz w:val="24"/>
          <w:szCs w:val="24"/>
        </w:rPr>
        <w:t xml:space="preserve">. </w:t>
      </w:r>
      <w:r w:rsidR="00CE32D0" w:rsidRPr="000E25DF">
        <w:rPr>
          <w:szCs w:val="24"/>
        </w:rPr>
        <w:t>Community Assets</w:t>
      </w:r>
      <w:r w:rsidR="000E25DF">
        <w:rPr>
          <w:szCs w:val="24"/>
        </w:rPr>
        <w:t xml:space="preserve"> balance was r</w:t>
      </w:r>
      <w:r w:rsidR="00CE32D0" w:rsidRPr="000E25DF">
        <w:rPr>
          <w:szCs w:val="24"/>
        </w:rPr>
        <w:t>einstated to the historic costs from a nominal value (£7m)</w:t>
      </w:r>
      <w:r w:rsidR="0027108F" w:rsidRPr="000E25DF">
        <w:rPr>
          <w:szCs w:val="24"/>
        </w:rPr>
        <w:t xml:space="preserve">. </w:t>
      </w:r>
      <w:r w:rsidR="00393673" w:rsidRPr="000E25DF">
        <w:rPr>
          <w:szCs w:val="24"/>
        </w:rPr>
        <w:t>There has been no change to the outturn position</w:t>
      </w:r>
      <w:r w:rsidR="00A05DF0" w:rsidRPr="000E25DF">
        <w:rPr>
          <w:szCs w:val="24"/>
        </w:rPr>
        <w:t>.</w:t>
      </w:r>
      <w:r w:rsidR="00393673" w:rsidRPr="000E25DF">
        <w:rPr>
          <w:szCs w:val="24"/>
        </w:rPr>
        <w:t xml:space="preserve"> </w:t>
      </w:r>
    </w:p>
    <w:p w14:paraId="3B30C3E2" w14:textId="0AD0C6B4" w:rsidR="000E25DF" w:rsidRDefault="000E25DF" w:rsidP="000E25DF">
      <w:pPr>
        <w:rPr>
          <w:szCs w:val="24"/>
        </w:rPr>
      </w:pPr>
    </w:p>
    <w:p w14:paraId="0663ABCE" w14:textId="22706A99" w:rsidR="000E25DF" w:rsidRPr="000E25DF" w:rsidRDefault="00190601" w:rsidP="000E25DF">
      <w:pPr>
        <w:ind w:left="360"/>
        <w:rPr>
          <w:b/>
          <w:bCs/>
          <w:szCs w:val="24"/>
        </w:rPr>
      </w:pPr>
      <w:bookmarkStart w:id="1" w:name="_Hlk151150690"/>
      <w:bookmarkStart w:id="2" w:name="_Hlk151129402"/>
      <w:r>
        <w:rPr>
          <w:b/>
          <w:bCs/>
          <w:szCs w:val="24"/>
        </w:rPr>
        <w:t>Pension Fund Annual Report 2021/22</w:t>
      </w:r>
      <w:r w:rsidR="00703F6D">
        <w:rPr>
          <w:b/>
          <w:bCs/>
          <w:szCs w:val="24"/>
        </w:rPr>
        <w:t xml:space="preserve"> (Appendix 2)</w:t>
      </w:r>
    </w:p>
    <w:p w14:paraId="521EF02B" w14:textId="77777777" w:rsidR="000E25DF" w:rsidRPr="000E25DF" w:rsidRDefault="000E25DF" w:rsidP="000E25DF">
      <w:pPr>
        <w:ind w:left="360"/>
        <w:rPr>
          <w:szCs w:val="24"/>
        </w:rPr>
      </w:pPr>
    </w:p>
    <w:p w14:paraId="23A60AF3" w14:textId="5E5B155C" w:rsidR="00467994" w:rsidRPr="00B1021F" w:rsidRDefault="009D1953" w:rsidP="00977D33">
      <w:pPr>
        <w:pStyle w:val="ListParagraph"/>
        <w:numPr>
          <w:ilvl w:val="0"/>
          <w:numId w:val="1"/>
        </w:numPr>
        <w:rPr>
          <w:sz w:val="24"/>
          <w:szCs w:val="24"/>
        </w:rPr>
      </w:pPr>
      <w:r w:rsidRPr="00B1021F">
        <w:t>The Pension Fund Committee considered the draft Pension Fund Annual Report on 12 October 2022 and will be asked to consider the Pension Fund external Audit Completion Report and approve the Pension Fund Annual Report at their next meeting.</w:t>
      </w:r>
    </w:p>
    <w:bookmarkEnd w:id="1"/>
    <w:p w14:paraId="395FBDF6" w14:textId="77777777" w:rsidR="00190601" w:rsidRPr="00AD5B4A" w:rsidRDefault="00190601" w:rsidP="00190601">
      <w:pPr>
        <w:pStyle w:val="ListParagraph"/>
        <w:rPr>
          <w:strike/>
          <w:sz w:val="24"/>
          <w:szCs w:val="24"/>
        </w:rPr>
      </w:pPr>
    </w:p>
    <w:p w14:paraId="2ED58844" w14:textId="47A84731" w:rsidR="00190601" w:rsidRPr="000E25DF" w:rsidRDefault="00190601" w:rsidP="00190601">
      <w:pPr>
        <w:ind w:left="360"/>
        <w:rPr>
          <w:b/>
          <w:bCs/>
          <w:szCs w:val="24"/>
        </w:rPr>
      </w:pPr>
      <w:r w:rsidRPr="000E25DF">
        <w:rPr>
          <w:b/>
          <w:bCs/>
          <w:szCs w:val="24"/>
        </w:rPr>
        <w:t xml:space="preserve">Audit completion </w:t>
      </w:r>
      <w:r w:rsidR="0053589A">
        <w:rPr>
          <w:b/>
          <w:bCs/>
          <w:szCs w:val="24"/>
        </w:rPr>
        <w:t>Updates</w:t>
      </w:r>
      <w:r w:rsidR="00703F6D">
        <w:rPr>
          <w:b/>
          <w:bCs/>
          <w:szCs w:val="24"/>
        </w:rPr>
        <w:t xml:space="preserve"> </w:t>
      </w:r>
      <w:r w:rsidR="00150E15">
        <w:rPr>
          <w:b/>
          <w:bCs/>
          <w:szCs w:val="24"/>
        </w:rPr>
        <w:t>(Appendices 3A</w:t>
      </w:r>
      <w:r w:rsidR="003D0806">
        <w:rPr>
          <w:b/>
          <w:bCs/>
          <w:szCs w:val="24"/>
        </w:rPr>
        <w:t xml:space="preserve"> &amp;</w:t>
      </w:r>
      <w:r w:rsidR="00150E15">
        <w:rPr>
          <w:b/>
          <w:bCs/>
          <w:szCs w:val="24"/>
        </w:rPr>
        <w:t xml:space="preserve"> 4A)</w:t>
      </w:r>
    </w:p>
    <w:p w14:paraId="50D95E3C" w14:textId="77777777" w:rsidR="00190601" w:rsidRPr="000E25DF" w:rsidRDefault="00190601" w:rsidP="00190601">
      <w:pPr>
        <w:ind w:left="360"/>
        <w:rPr>
          <w:szCs w:val="24"/>
        </w:rPr>
      </w:pPr>
    </w:p>
    <w:p w14:paraId="3E011337" w14:textId="7C330CAF" w:rsidR="00190601" w:rsidRDefault="000C7C3E" w:rsidP="00190601">
      <w:pPr>
        <w:pStyle w:val="ListParagraph"/>
        <w:numPr>
          <w:ilvl w:val="0"/>
          <w:numId w:val="1"/>
        </w:numPr>
        <w:rPr>
          <w:sz w:val="24"/>
          <w:szCs w:val="24"/>
        </w:rPr>
      </w:pPr>
      <w:r>
        <w:rPr>
          <w:sz w:val="24"/>
          <w:szCs w:val="24"/>
        </w:rPr>
        <w:t xml:space="preserve">The Audit Completion Updates </w:t>
      </w:r>
      <w:r w:rsidR="00703F6D">
        <w:rPr>
          <w:sz w:val="24"/>
          <w:szCs w:val="24"/>
        </w:rPr>
        <w:t>(</w:t>
      </w:r>
      <w:r w:rsidR="00703F6D" w:rsidRPr="00150E15">
        <w:rPr>
          <w:b/>
          <w:bCs/>
          <w:sz w:val="24"/>
          <w:szCs w:val="24"/>
        </w:rPr>
        <w:t>Appendices 3</w:t>
      </w:r>
      <w:r w:rsidR="00FB4339" w:rsidRPr="00150E15">
        <w:rPr>
          <w:b/>
          <w:bCs/>
          <w:sz w:val="24"/>
          <w:szCs w:val="24"/>
        </w:rPr>
        <w:t>A</w:t>
      </w:r>
      <w:r w:rsidR="00703F6D" w:rsidRPr="00150E15">
        <w:rPr>
          <w:b/>
          <w:bCs/>
          <w:sz w:val="24"/>
          <w:szCs w:val="24"/>
        </w:rPr>
        <w:t xml:space="preserve"> &amp; 4</w:t>
      </w:r>
      <w:r w:rsidR="00FB4339" w:rsidRPr="00150E15">
        <w:rPr>
          <w:b/>
          <w:bCs/>
          <w:sz w:val="24"/>
          <w:szCs w:val="24"/>
        </w:rPr>
        <w:t>A</w:t>
      </w:r>
      <w:r w:rsidR="00703F6D">
        <w:rPr>
          <w:sz w:val="24"/>
          <w:szCs w:val="24"/>
        </w:rPr>
        <w:t xml:space="preserve">) </w:t>
      </w:r>
      <w:r>
        <w:rPr>
          <w:sz w:val="24"/>
          <w:szCs w:val="24"/>
        </w:rPr>
        <w:t>a</w:t>
      </w:r>
      <w:r w:rsidR="00190601" w:rsidRPr="00977D33">
        <w:rPr>
          <w:sz w:val="24"/>
          <w:szCs w:val="24"/>
        </w:rPr>
        <w:t xml:space="preserve">ccompany the Statement of Accounts </w:t>
      </w:r>
      <w:r>
        <w:rPr>
          <w:sz w:val="24"/>
          <w:szCs w:val="24"/>
        </w:rPr>
        <w:t>and contain</w:t>
      </w:r>
      <w:r w:rsidR="00190601" w:rsidRPr="00977D33">
        <w:rPr>
          <w:sz w:val="24"/>
          <w:szCs w:val="24"/>
        </w:rPr>
        <w:t xml:space="preserve"> a </w:t>
      </w:r>
      <w:r w:rsidR="00190601">
        <w:rPr>
          <w:sz w:val="24"/>
          <w:szCs w:val="24"/>
        </w:rPr>
        <w:t>summary of audit conclusions</w:t>
      </w:r>
      <w:r w:rsidR="00190601" w:rsidRPr="00977D33">
        <w:rPr>
          <w:sz w:val="24"/>
          <w:szCs w:val="24"/>
        </w:rPr>
        <w:t xml:space="preserve"> </w:t>
      </w:r>
      <w:r w:rsidR="00190601">
        <w:rPr>
          <w:sz w:val="24"/>
          <w:szCs w:val="24"/>
        </w:rPr>
        <w:t xml:space="preserve">and significant findings </w:t>
      </w:r>
      <w:r w:rsidR="00190601" w:rsidRPr="00977D33">
        <w:rPr>
          <w:sz w:val="24"/>
          <w:szCs w:val="24"/>
        </w:rPr>
        <w:t>from the external auditors</w:t>
      </w:r>
      <w:r w:rsidR="00703F6D">
        <w:rPr>
          <w:sz w:val="24"/>
          <w:szCs w:val="24"/>
        </w:rPr>
        <w:t>,</w:t>
      </w:r>
      <w:r w:rsidR="00190601" w:rsidRPr="00977D33">
        <w:rPr>
          <w:sz w:val="24"/>
          <w:szCs w:val="24"/>
        </w:rPr>
        <w:t xml:space="preserve"> updating the committee on the conclusion of open matters for both the Council and Pension Fund accounts. </w:t>
      </w:r>
    </w:p>
    <w:p w14:paraId="3F09F1E6" w14:textId="77777777" w:rsidR="006A4940" w:rsidRDefault="006A4940" w:rsidP="006A4940">
      <w:pPr>
        <w:pStyle w:val="ListParagraph"/>
        <w:rPr>
          <w:sz w:val="24"/>
          <w:szCs w:val="24"/>
        </w:rPr>
      </w:pPr>
    </w:p>
    <w:p w14:paraId="0BAAB0FA" w14:textId="098D4857" w:rsidR="005342A6" w:rsidRPr="00894EA3" w:rsidRDefault="00891831" w:rsidP="00894EA3">
      <w:pPr>
        <w:pStyle w:val="ListParagraph"/>
        <w:numPr>
          <w:ilvl w:val="0"/>
          <w:numId w:val="1"/>
        </w:numPr>
        <w:rPr>
          <w:sz w:val="24"/>
          <w:szCs w:val="24"/>
        </w:rPr>
      </w:pPr>
      <w:r>
        <w:rPr>
          <w:sz w:val="24"/>
          <w:szCs w:val="24"/>
        </w:rPr>
        <w:t>The</w:t>
      </w:r>
      <w:r w:rsidR="00C058C6">
        <w:rPr>
          <w:sz w:val="24"/>
          <w:szCs w:val="24"/>
        </w:rPr>
        <w:t xml:space="preserve"> Audit Completion Update</w:t>
      </w:r>
      <w:r w:rsidR="00E61D16">
        <w:rPr>
          <w:sz w:val="24"/>
          <w:szCs w:val="24"/>
        </w:rPr>
        <w:t>s</w:t>
      </w:r>
      <w:r w:rsidR="00C058C6">
        <w:rPr>
          <w:sz w:val="24"/>
          <w:szCs w:val="24"/>
        </w:rPr>
        <w:t xml:space="preserve"> </w:t>
      </w:r>
      <w:r>
        <w:rPr>
          <w:sz w:val="24"/>
          <w:szCs w:val="24"/>
        </w:rPr>
        <w:t xml:space="preserve">refer to </w:t>
      </w:r>
      <w:r w:rsidR="007941B3">
        <w:rPr>
          <w:sz w:val="24"/>
          <w:szCs w:val="24"/>
        </w:rPr>
        <w:t>th</w:t>
      </w:r>
      <w:r w:rsidR="00951300">
        <w:rPr>
          <w:sz w:val="24"/>
          <w:szCs w:val="24"/>
        </w:rPr>
        <w:t xml:space="preserve">e Audit Completion Reports for both the </w:t>
      </w:r>
      <w:r w:rsidR="00951300" w:rsidRPr="00977D33">
        <w:rPr>
          <w:sz w:val="24"/>
          <w:szCs w:val="24"/>
        </w:rPr>
        <w:t xml:space="preserve">Council </w:t>
      </w:r>
      <w:r w:rsidR="006E0EF5">
        <w:rPr>
          <w:sz w:val="24"/>
          <w:szCs w:val="24"/>
        </w:rPr>
        <w:t>(</w:t>
      </w:r>
      <w:r w:rsidR="006E0EF5" w:rsidRPr="00150E15">
        <w:rPr>
          <w:b/>
          <w:bCs/>
          <w:sz w:val="24"/>
          <w:szCs w:val="24"/>
        </w:rPr>
        <w:t>Appendix 3B</w:t>
      </w:r>
      <w:r w:rsidR="006E0EF5">
        <w:rPr>
          <w:sz w:val="24"/>
          <w:szCs w:val="24"/>
        </w:rPr>
        <w:t xml:space="preserve">) </w:t>
      </w:r>
      <w:r w:rsidR="00951300" w:rsidRPr="00977D33">
        <w:rPr>
          <w:sz w:val="24"/>
          <w:szCs w:val="24"/>
        </w:rPr>
        <w:t>and Pension Fund accounts</w:t>
      </w:r>
      <w:r w:rsidR="007941B3">
        <w:rPr>
          <w:sz w:val="24"/>
          <w:szCs w:val="24"/>
        </w:rPr>
        <w:t xml:space="preserve"> </w:t>
      </w:r>
      <w:r w:rsidR="006E0EF5">
        <w:rPr>
          <w:sz w:val="24"/>
          <w:szCs w:val="24"/>
        </w:rPr>
        <w:t>(</w:t>
      </w:r>
      <w:r w:rsidR="006E0EF5" w:rsidRPr="00150E15">
        <w:rPr>
          <w:b/>
          <w:bCs/>
          <w:sz w:val="24"/>
          <w:szCs w:val="24"/>
        </w:rPr>
        <w:t>Appendix 4B</w:t>
      </w:r>
      <w:r w:rsidR="006E0EF5">
        <w:rPr>
          <w:sz w:val="24"/>
          <w:szCs w:val="24"/>
        </w:rPr>
        <w:t xml:space="preserve">) </w:t>
      </w:r>
      <w:r w:rsidR="007941B3">
        <w:rPr>
          <w:sz w:val="24"/>
          <w:szCs w:val="24"/>
        </w:rPr>
        <w:t>that were issued in May 2023</w:t>
      </w:r>
      <w:r w:rsidR="006E0EF5">
        <w:rPr>
          <w:sz w:val="24"/>
          <w:szCs w:val="24"/>
        </w:rPr>
        <w:t xml:space="preserve"> and June 2023 respectively</w:t>
      </w:r>
      <w:r w:rsidR="00E61D16">
        <w:rPr>
          <w:sz w:val="24"/>
          <w:szCs w:val="24"/>
        </w:rPr>
        <w:t xml:space="preserve">. These have also been attached </w:t>
      </w:r>
      <w:r w:rsidR="0025312D">
        <w:rPr>
          <w:sz w:val="24"/>
          <w:szCs w:val="24"/>
        </w:rPr>
        <w:t>for reference.</w:t>
      </w:r>
    </w:p>
    <w:p w14:paraId="0B15FD53" w14:textId="1591D6D9" w:rsidR="005342A6" w:rsidRPr="005342A6" w:rsidRDefault="005342A6" w:rsidP="0052404D">
      <w:pPr>
        <w:pStyle w:val="ListParagraph"/>
        <w:numPr>
          <w:ilvl w:val="0"/>
          <w:numId w:val="1"/>
        </w:numPr>
        <w:spacing w:before="240" w:after="240"/>
        <w:rPr>
          <w:sz w:val="24"/>
          <w:szCs w:val="24"/>
        </w:rPr>
      </w:pPr>
      <w:r w:rsidRPr="005342A6">
        <w:rPr>
          <w:sz w:val="24"/>
          <w:szCs w:val="24"/>
        </w:rPr>
        <w:t xml:space="preserve">The external auditor’s draft audit opinion </w:t>
      </w:r>
      <w:r w:rsidR="00894EA3">
        <w:rPr>
          <w:sz w:val="24"/>
          <w:szCs w:val="24"/>
        </w:rPr>
        <w:t>for LBH</w:t>
      </w:r>
      <w:r w:rsidR="00703F6D">
        <w:rPr>
          <w:sz w:val="24"/>
          <w:szCs w:val="24"/>
        </w:rPr>
        <w:t xml:space="preserve"> (</w:t>
      </w:r>
      <w:r w:rsidR="00150E15" w:rsidRPr="00150E15">
        <w:rPr>
          <w:b/>
          <w:bCs/>
          <w:sz w:val="24"/>
          <w:szCs w:val="24"/>
        </w:rPr>
        <w:t>A</w:t>
      </w:r>
      <w:r w:rsidR="00703F6D" w:rsidRPr="00150E15">
        <w:rPr>
          <w:b/>
          <w:bCs/>
          <w:sz w:val="24"/>
          <w:szCs w:val="24"/>
        </w:rPr>
        <w:t>ppendix 3C</w:t>
      </w:r>
      <w:r w:rsidR="00703F6D">
        <w:rPr>
          <w:sz w:val="24"/>
          <w:szCs w:val="24"/>
        </w:rPr>
        <w:t>)</w:t>
      </w:r>
      <w:r w:rsidR="00894EA3">
        <w:rPr>
          <w:sz w:val="24"/>
          <w:szCs w:val="24"/>
        </w:rPr>
        <w:t xml:space="preserve"> </w:t>
      </w:r>
      <w:r w:rsidRPr="005342A6">
        <w:rPr>
          <w:sz w:val="24"/>
          <w:szCs w:val="24"/>
        </w:rPr>
        <w:t xml:space="preserve">states that the financial </w:t>
      </w:r>
      <w:proofErr w:type="gramStart"/>
      <w:r w:rsidRPr="005342A6">
        <w:rPr>
          <w:sz w:val="24"/>
          <w:szCs w:val="24"/>
        </w:rPr>
        <w:t>statements :</w:t>
      </w:r>
      <w:proofErr w:type="gramEnd"/>
      <w:r w:rsidRPr="005342A6">
        <w:rPr>
          <w:sz w:val="24"/>
          <w:szCs w:val="24"/>
        </w:rPr>
        <w:t xml:space="preserve">- </w:t>
      </w:r>
    </w:p>
    <w:p w14:paraId="315F2E71" w14:textId="77777777" w:rsidR="005342A6" w:rsidRPr="005342A6" w:rsidRDefault="005342A6" w:rsidP="005342A6">
      <w:pPr>
        <w:pStyle w:val="ListParagraph"/>
        <w:numPr>
          <w:ilvl w:val="0"/>
          <w:numId w:val="7"/>
        </w:numPr>
        <w:spacing w:before="240" w:after="240"/>
        <w:rPr>
          <w:sz w:val="24"/>
          <w:szCs w:val="24"/>
        </w:rPr>
      </w:pPr>
      <w:r w:rsidRPr="005342A6">
        <w:rPr>
          <w:sz w:val="24"/>
          <w:szCs w:val="24"/>
        </w:rPr>
        <w:t xml:space="preserve">give a true and fair view of the financial position of the Council as </w:t>
      </w:r>
      <w:proofErr w:type="gramStart"/>
      <w:r w:rsidRPr="005342A6">
        <w:rPr>
          <w:sz w:val="24"/>
          <w:szCs w:val="24"/>
        </w:rPr>
        <w:t>at</w:t>
      </w:r>
      <w:proofErr w:type="gramEnd"/>
      <w:r w:rsidRPr="005342A6">
        <w:rPr>
          <w:sz w:val="24"/>
          <w:szCs w:val="24"/>
        </w:rPr>
        <w:t xml:space="preserve"> 31st March 2022 and of the Council’s expenditure and income for the year then ended; and</w:t>
      </w:r>
    </w:p>
    <w:p w14:paraId="6BDB1C64" w14:textId="5AE36228" w:rsidR="00894EA3" w:rsidRDefault="005342A6" w:rsidP="00262AC4">
      <w:pPr>
        <w:pStyle w:val="ListParagraph"/>
        <w:numPr>
          <w:ilvl w:val="0"/>
          <w:numId w:val="7"/>
        </w:numPr>
        <w:spacing w:before="240" w:after="240"/>
        <w:rPr>
          <w:sz w:val="24"/>
          <w:szCs w:val="24"/>
        </w:rPr>
      </w:pPr>
      <w:r w:rsidRPr="005342A6">
        <w:rPr>
          <w:sz w:val="24"/>
          <w:szCs w:val="24"/>
        </w:rPr>
        <w:t>have been properly prepared in accordance with the CIPFA/LASAAC Code of Practice on Local Authority Accounting in the United Kingdom 2021/22 as amended by the Code</w:t>
      </w:r>
      <w:r w:rsidR="00C05049">
        <w:rPr>
          <w:sz w:val="24"/>
          <w:szCs w:val="24"/>
        </w:rPr>
        <w:t>.</w:t>
      </w:r>
    </w:p>
    <w:p w14:paraId="60396FBF" w14:textId="5F98328D" w:rsidR="009B084E" w:rsidRPr="009B084E" w:rsidRDefault="009B084E" w:rsidP="009B084E">
      <w:pPr>
        <w:spacing w:before="240" w:after="240"/>
        <w:ind w:left="720"/>
        <w:rPr>
          <w:rFonts w:eastAsia="Calibri" w:cs="Arial"/>
          <w:color w:val="000000"/>
          <w:szCs w:val="24"/>
          <w:lang w:eastAsia="en-GB"/>
        </w:rPr>
      </w:pPr>
      <w:r w:rsidRPr="008108E2">
        <w:rPr>
          <w:rFonts w:eastAsia="Calibri" w:cs="Arial"/>
          <w:color w:val="000000"/>
          <w:szCs w:val="24"/>
          <w:lang w:eastAsia="en-GB"/>
        </w:rPr>
        <w:t>The work on value for money remains open.</w:t>
      </w:r>
      <w:r w:rsidR="005953D9">
        <w:rPr>
          <w:rFonts w:eastAsia="Calibri" w:cs="Arial"/>
          <w:color w:val="000000"/>
          <w:szCs w:val="24"/>
          <w:lang w:eastAsia="en-GB"/>
        </w:rPr>
        <w:t xml:space="preserve"> </w:t>
      </w:r>
    </w:p>
    <w:p w14:paraId="281BE921" w14:textId="76DED4A7" w:rsidR="00C05049" w:rsidRPr="008E6421" w:rsidRDefault="00262AC4" w:rsidP="00BC483C">
      <w:pPr>
        <w:pStyle w:val="ListParagraph"/>
        <w:numPr>
          <w:ilvl w:val="0"/>
          <w:numId w:val="1"/>
        </w:numPr>
        <w:spacing w:before="240" w:after="240"/>
      </w:pPr>
      <w:r w:rsidRPr="00262AC4">
        <w:rPr>
          <w:sz w:val="24"/>
          <w:szCs w:val="24"/>
        </w:rPr>
        <w:t xml:space="preserve">The external auditor’s draft audit opinion for LBH </w:t>
      </w:r>
      <w:r w:rsidR="00A978BA">
        <w:rPr>
          <w:sz w:val="24"/>
          <w:szCs w:val="24"/>
        </w:rPr>
        <w:t xml:space="preserve">Pension Fund </w:t>
      </w:r>
      <w:r w:rsidR="00703F6D">
        <w:rPr>
          <w:sz w:val="24"/>
          <w:szCs w:val="24"/>
        </w:rPr>
        <w:t>(</w:t>
      </w:r>
      <w:r w:rsidR="00150E15" w:rsidRPr="00150E15">
        <w:rPr>
          <w:b/>
          <w:bCs/>
          <w:sz w:val="24"/>
          <w:szCs w:val="24"/>
        </w:rPr>
        <w:t>A</w:t>
      </w:r>
      <w:r w:rsidR="00703F6D" w:rsidRPr="00150E15">
        <w:rPr>
          <w:b/>
          <w:bCs/>
          <w:sz w:val="24"/>
          <w:szCs w:val="24"/>
        </w:rPr>
        <w:t>ppendix 4C</w:t>
      </w:r>
      <w:r w:rsidR="00703F6D">
        <w:rPr>
          <w:sz w:val="24"/>
          <w:szCs w:val="24"/>
        </w:rPr>
        <w:t xml:space="preserve">) </w:t>
      </w:r>
      <w:r w:rsidRPr="00262AC4">
        <w:rPr>
          <w:sz w:val="24"/>
          <w:szCs w:val="24"/>
        </w:rPr>
        <w:t xml:space="preserve">states that the financial statements </w:t>
      </w:r>
      <w:bookmarkEnd w:id="2"/>
    </w:p>
    <w:p w14:paraId="565C1A95" w14:textId="61ED8CFD" w:rsidR="00EF68D9" w:rsidRDefault="008E6421" w:rsidP="00EF68D9">
      <w:pPr>
        <w:pStyle w:val="ListParagraph"/>
        <w:numPr>
          <w:ilvl w:val="0"/>
          <w:numId w:val="7"/>
        </w:numPr>
        <w:spacing w:before="240" w:after="240"/>
        <w:rPr>
          <w:sz w:val="24"/>
          <w:szCs w:val="24"/>
        </w:rPr>
      </w:pPr>
      <w:r w:rsidRPr="00EF68D9">
        <w:rPr>
          <w:sz w:val="24"/>
          <w:szCs w:val="24"/>
        </w:rPr>
        <w:t xml:space="preserve">give a true and fair view of the financial transactions of the Pension Fund during the year ended 31 March 2022, and the amount and </w:t>
      </w:r>
      <w:r w:rsidRPr="00EF68D9">
        <w:rPr>
          <w:sz w:val="24"/>
          <w:szCs w:val="24"/>
        </w:rPr>
        <w:lastRenderedPageBreak/>
        <w:t xml:space="preserve">disposition of the Pension Fund’s assets and liabilities as </w:t>
      </w:r>
      <w:proofErr w:type="gramStart"/>
      <w:r w:rsidRPr="00EF68D9">
        <w:rPr>
          <w:sz w:val="24"/>
          <w:szCs w:val="24"/>
        </w:rPr>
        <w:t>at</w:t>
      </w:r>
      <w:proofErr w:type="gramEnd"/>
      <w:r w:rsidRPr="00EF68D9">
        <w:rPr>
          <w:sz w:val="24"/>
          <w:szCs w:val="24"/>
        </w:rPr>
        <w:t xml:space="preserve"> 31 March 2022; and </w:t>
      </w:r>
    </w:p>
    <w:p w14:paraId="3DF92299" w14:textId="4C486A3C" w:rsidR="008E6421" w:rsidRDefault="008E6421" w:rsidP="00EF68D9">
      <w:pPr>
        <w:pStyle w:val="ListParagraph"/>
        <w:numPr>
          <w:ilvl w:val="0"/>
          <w:numId w:val="7"/>
        </w:numPr>
        <w:spacing w:before="240" w:after="240"/>
        <w:rPr>
          <w:sz w:val="24"/>
          <w:szCs w:val="24"/>
        </w:rPr>
      </w:pPr>
      <w:r w:rsidRPr="00EF68D9">
        <w:rPr>
          <w:sz w:val="24"/>
          <w:szCs w:val="24"/>
        </w:rPr>
        <w:t>have been properly prepared in accordance with the CIPFA/LASAAC Code of Practice on Local Authority Accounting in the United Kingdom 2021/22 as amended by the Code Update</w:t>
      </w:r>
    </w:p>
    <w:p w14:paraId="1345EA5F" w14:textId="7C3CEC97" w:rsidR="002A2142" w:rsidRPr="002A2142" w:rsidRDefault="00BC2FF6" w:rsidP="002A2142">
      <w:pPr>
        <w:ind w:left="360"/>
        <w:rPr>
          <w:b/>
          <w:bCs/>
          <w:szCs w:val="24"/>
        </w:rPr>
      </w:pPr>
      <w:r>
        <w:rPr>
          <w:b/>
          <w:bCs/>
          <w:szCs w:val="24"/>
        </w:rPr>
        <w:t xml:space="preserve">Draft </w:t>
      </w:r>
      <w:r w:rsidRPr="00BC2FF6">
        <w:rPr>
          <w:b/>
          <w:bCs/>
          <w:szCs w:val="24"/>
        </w:rPr>
        <w:t>Auditor’s Annual Report 2020/21 &amp; 2021/22</w:t>
      </w:r>
      <w:r>
        <w:rPr>
          <w:b/>
          <w:bCs/>
          <w:szCs w:val="24"/>
        </w:rPr>
        <w:t xml:space="preserve"> (Appendix 5)</w:t>
      </w:r>
    </w:p>
    <w:p w14:paraId="4CDBABEF" w14:textId="54DB052D" w:rsidR="00BC2FF6" w:rsidRPr="002A2142" w:rsidRDefault="002A2142" w:rsidP="00BC2FF6">
      <w:pPr>
        <w:pStyle w:val="ListParagraph"/>
        <w:numPr>
          <w:ilvl w:val="0"/>
          <w:numId w:val="1"/>
        </w:numPr>
        <w:spacing w:before="240" w:after="240"/>
        <w:rPr>
          <w:sz w:val="24"/>
          <w:szCs w:val="24"/>
        </w:rPr>
      </w:pPr>
      <w:r w:rsidRPr="002A2142">
        <w:rPr>
          <w:sz w:val="24"/>
          <w:szCs w:val="24"/>
        </w:rPr>
        <w:t>The Interim Auditor’s Annual Report (AAR) summarises the work undertaken by the auditors for the years ending 31 March 2021 and 31 March 2022.</w:t>
      </w:r>
      <w:r w:rsidR="008108E2">
        <w:rPr>
          <w:sz w:val="24"/>
          <w:szCs w:val="24"/>
        </w:rPr>
        <w:t xml:space="preserve"> It contains a commentary on the audit opinion on the financial statements, findings and recommendations and summary of the VFM work. The report will be issued in final after clearance of some </w:t>
      </w:r>
      <w:r w:rsidR="00F86038">
        <w:rPr>
          <w:sz w:val="24"/>
          <w:szCs w:val="24"/>
        </w:rPr>
        <w:t>queries around VFM and agreement of the fees schedule in Section 4 of the report.</w:t>
      </w:r>
    </w:p>
    <w:p w14:paraId="167CC2E8" w14:textId="75EBC27B" w:rsidR="005E6647" w:rsidRDefault="00D87811" w:rsidP="005E6647">
      <w:pPr>
        <w:pStyle w:val="Heading2"/>
        <w:spacing w:after="240"/>
      </w:pPr>
      <w:r>
        <w:t>Legal</w:t>
      </w:r>
      <w:r w:rsidR="005E6647">
        <w:t xml:space="preserve"> Implications</w:t>
      </w:r>
    </w:p>
    <w:p w14:paraId="7C5CC3F1" w14:textId="77777777" w:rsidR="0070350B" w:rsidRDefault="0070350B" w:rsidP="0090391F">
      <w:pPr>
        <w:pStyle w:val="ListParagraph"/>
      </w:pPr>
    </w:p>
    <w:p w14:paraId="310167B8" w14:textId="231E51C7" w:rsidR="000A6ACD" w:rsidRDefault="004700F8" w:rsidP="0090391F">
      <w:r>
        <w:t>The requirements of</w:t>
      </w:r>
      <w:r w:rsidR="00C56643">
        <w:t xml:space="preserve"> the Accounts and Audit Regulations 2015 </w:t>
      </w:r>
      <w:r>
        <w:t xml:space="preserve">are set out in the body of the report. </w:t>
      </w:r>
      <w:r w:rsidR="00C56643">
        <w:t xml:space="preserve"> </w:t>
      </w:r>
    </w:p>
    <w:p w14:paraId="78C9604C" w14:textId="77777777" w:rsidR="00D87811" w:rsidRDefault="00D87811" w:rsidP="000A6ACD">
      <w:pPr>
        <w:pStyle w:val="Heading2"/>
        <w:spacing w:after="240"/>
      </w:pPr>
      <w:r>
        <w:t>Financial Implications</w:t>
      </w:r>
    </w:p>
    <w:p w14:paraId="60804828" w14:textId="77777777" w:rsidR="00D87811" w:rsidRPr="003D4EB4" w:rsidRDefault="00D87811" w:rsidP="00D87811">
      <w:r w:rsidRPr="003D4EB4">
        <w:t>There are no direct financial implications arising from this report.</w:t>
      </w:r>
    </w:p>
    <w:p w14:paraId="0C7660A8" w14:textId="77777777" w:rsidR="005E6647" w:rsidRDefault="005E6647" w:rsidP="005E6647">
      <w:pPr>
        <w:pStyle w:val="Heading2"/>
        <w:spacing w:after="240"/>
      </w:pPr>
      <w:r>
        <w:t>Risk Management Implications</w:t>
      </w:r>
    </w:p>
    <w:p w14:paraId="3466B532" w14:textId="77777777" w:rsidR="005E6647" w:rsidRPr="00570F59" w:rsidRDefault="005E6647" w:rsidP="005E6647">
      <w:pPr>
        <w:ind w:left="555" w:right="75" w:hanging="555"/>
        <w:textAlignment w:val="baseline"/>
        <w:rPr>
          <w:rFonts w:ascii="Segoe UI" w:hAnsi="Segoe UI" w:cs="Segoe UI"/>
          <w:sz w:val="18"/>
          <w:szCs w:val="18"/>
          <w:lang w:eastAsia="en-GB"/>
        </w:rPr>
      </w:pPr>
    </w:p>
    <w:p w14:paraId="6342006D" w14:textId="77777777" w:rsidR="005E6647" w:rsidRPr="00A77E39" w:rsidRDefault="005E6647" w:rsidP="005E6647">
      <w:pPr>
        <w:ind w:right="75"/>
        <w:textAlignment w:val="baseline"/>
        <w:rPr>
          <w:rFonts w:ascii="Segoe UI" w:hAnsi="Segoe UI" w:cs="Segoe UI"/>
          <w:sz w:val="18"/>
          <w:szCs w:val="18"/>
          <w:lang w:eastAsia="en-GB"/>
        </w:rPr>
      </w:pPr>
      <w:r w:rsidRPr="00A77E39">
        <w:rPr>
          <w:rFonts w:cs="Arial"/>
          <w:szCs w:val="24"/>
          <w:lang w:val="en-US" w:eastAsia="en-GB"/>
        </w:rPr>
        <w:t xml:space="preserve">Risks included on corporate or directorate risk </w:t>
      </w:r>
      <w:proofErr w:type="gramStart"/>
      <w:r w:rsidRPr="00A77E39">
        <w:rPr>
          <w:rFonts w:cs="Arial"/>
          <w:szCs w:val="24"/>
          <w:lang w:val="en-US" w:eastAsia="en-GB"/>
        </w:rPr>
        <w:t>register?</w:t>
      </w:r>
      <w:proofErr w:type="gramEnd"/>
      <w:r w:rsidRPr="00A77E39">
        <w:rPr>
          <w:rFonts w:cs="Arial"/>
          <w:szCs w:val="24"/>
          <w:lang w:val="en-US" w:eastAsia="en-GB"/>
        </w:rPr>
        <w:t> </w:t>
      </w:r>
      <w:r w:rsidRPr="00A77E39">
        <w:rPr>
          <w:rFonts w:cs="Arial"/>
          <w:b/>
          <w:bCs/>
          <w:szCs w:val="24"/>
          <w:lang w:val="en-US" w:eastAsia="en-GB"/>
        </w:rPr>
        <w:t>No</w:t>
      </w:r>
    </w:p>
    <w:p w14:paraId="76173773" w14:textId="77777777" w:rsidR="005E6647" w:rsidRPr="00A77E39" w:rsidRDefault="005E6647" w:rsidP="005E6647">
      <w:pPr>
        <w:ind w:left="-150" w:right="135"/>
        <w:textAlignment w:val="baseline"/>
        <w:rPr>
          <w:rFonts w:ascii="Segoe UI" w:hAnsi="Segoe UI" w:cs="Segoe UI"/>
          <w:sz w:val="18"/>
          <w:szCs w:val="18"/>
          <w:lang w:eastAsia="en-GB"/>
        </w:rPr>
      </w:pPr>
      <w:r w:rsidRPr="00A77E39">
        <w:rPr>
          <w:rFonts w:cs="Arial"/>
          <w:szCs w:val="24"/>
          <w:lang w:val="en-US" w:eastAsia="en-GB"/>
        </w:rPr>
        <w:t>  </w:t>
      </w:r>
      <w:r w:rsidRPr="00A77E39">
        <w:rPr>
          <w:rFonts w:cs="Arial"/>
          <w:szCs w:val="24"/>
          <w:lang w:eastAsia="en-GB"/>
        </w:rPr>
        <w:t> </w:t>
      </w:r>
    </w:p>
    <w:p w14:paraId="73B73F85" w14:textId="77777777" w:rsidR="005E6647" w:rsidRPr="00570F59" w:rsidRDefault="005E6647" w:rsidP="005E6647">
      <w:pPr>
        <w:ind w:left="-150" w:right="135" w:firstLine="135"/>
        <w:textAlignment w:val="baseline"/>
        <w:rPr>
          <w:rFonts w:ascii="Segoe UI" w:hAnsi="Segoe UI" w:cs="Segoe UI"/>
          <w:sz w:val="18"/>
          <w:szCs w:val="18"/>
          <w:lang w:eastAsia="en-GB"/>
        </w:rPr>
      </w:pPr>
      <w:r w:rsidRPr="00A77E39">
        <w:rPr>
          <w:rFonts w:cs="Arial"/>
          <w:szCs w:val="24"/>
          <w:lang w:val="en-US" w:eastAsia="en-GB"/>
        </w:rPr>
        <w:t xml:space="preserve">Separate risk </w:t>
      </w:r>
      <w:proofErr w:type="gramStart"/>
      <w:r w:rsidRPr="00A77E39">
        <w:rPr>
          <w:rFonts w:cs="Arial"/>
          <w:szCs w:val="24"/>
          <w:lang w:val="en-US" w:eastAsia="en-GB"/>
        </w:rPr>
        <w:t>register</w:t>
      </w:r>
      <w:proofErr w:type="gramEnd"/>
      <w:r w:rsidRPr="00A77E39">
        <w:rPr>
          <w:rFonts w:cs="Arial"/>
          <w:szCs w:val="24"/>
          <w:lang w:val="en-US" w:eastAsia="en-GB"/>
        </w:rPr>
        <w:t xml:space="preserve"> in place? </w:t>
      </w:r>
      <w:r w:rsidRPr="00A77E39">
        <w:rPr>
          <w:rFonts w:cs="Arial"/>
          <w:b/>
          <w:bCs/>
          <w:szCs w:val="24"/>
          <w:lang w:val="en-US" w:eastAsia="en-GB"/>
        </w:rPr>
        <w:t>No</w:t>
      </w:r>
    </w:p>
    <w:p w14:paraId="580CBE30" w14:textId="77777777" w:rsidR="005E6647" w:rsidRPr="00570F59" w:rsidRDefault="005E6647" w:rsidP="005E6647">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7BE90E6D" w14:textId="77777777" w:rsidR="005E6647" w:rsidRPr="00570F59" w:rsidRDefault="005E6647" w:rsidP="005E6647">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36DB6761" w14:textId="77777777" w:rsidR="005E6647" w:rsidRDefault="005E6647" w:rsidP="005E6647">
      <w:pPr>
        <w:pStyle w:val="Heading2"/>
        <w:keepNext/>
        <w:spacing w:after="240"/>
      </w:pPr>
      <w:r w:rsidRPr="004A2543">
        <w:t>Equalities implications</w:t>
      </w:r>
      <w:r>
        <w:t xml:space="preserve"> / Public Sector Equality Duty </w:t>
      </w:r>
    </w:p>
    <w:p w14:paraId="1A19D0C7" w14:textId="77777777" w:rsidR="005E6647" w:rsidRDefault="005E6647" w:rsidP="005E6647">
      <w:r w:rsidRPr="005063FB">
        <w:t>Considering the Council’s Public Sector Equality Duties under the Equality Act 2010, s.149, is integral to the decision- making process.</w:t>
      </w:r>
    </w:p>
    <w:p w14:paraId="6B6B2248" w14:textId="77777777" w:rsidR="005E6647" w:rsidRDefault="005E6647" w:rsidP="005E6647"/>
    <w:p w14:paraId="080F02A5" w14:textId="77777777" w:rsidR="005E6647" w:rsidRPr="004A2543" w:rsidRDefault="005E6647" w:rsidP="005E6647">
      <w:r w:rsidRPr="004A2543">
        <w:t>Was an Equality Imp</w:t>
      </w:r>
      <w:r>
        <w:t>act Assessment carried out?  No</w:t>
      </w:r>
    </w:p>
    <w:p w14:paraId="42E5295E" w14:textId="77777777" w:rsidR="005E6647" w:rsidRDefault="005E6647" w:rsidP="005E6647">
      <w:pPr>
        <w:ind w:right="141"/>
        <w:rPr>
          <w:rFonts w:cs="Arial"/>
          <w:szCs w:val="24"/>
          <w:lang w:val="en-US"/>
        </w:rPr>
      </w:pPr>
    </w:p>
    <w:p w14:paraId="6C70C22E" w14:textId="77777777" w:rsidR="005E6647" w:rsidRPr="00B90CD8" w:rsidRDefault="005E6647" w:rsidP="005E6647">
      <w:r w:rsidRPr="00B90CD8">
        <w:t>There are no direct equalities implications</w:t>
      </w:r>
      <w:r>
        <w:t>.</w:t>
      </w:r>
    </w:p>
    <w:p w14:paraId="3CD6400B" w14:textId="77777777" w:rsidR="005E6647" w:rsidRDefault="005E6647" w:rsidP="005E6647">
      <w:pPr>
        <w:pStyle w:val="Heading2"/>
        <w:spacing w:after="240"/>
      </w:pPr>
      <w:r>
        <w:lastRenderedPageBreak/>
        <w:t xml:space="preserve">Council </w:t>
      </w:r>
      <w:r w:rsidRPr="00CD57D8">
        <w:t>Priorities</w:t>
      </w:r>
    </w:p>
    <w:p w14:paraId="0263BE0A" w14:textId="77777777" w:rsidR="005E6647" w:rsidRDefault="005E6647" w:rsidP="005E6647">
      <w:r>
        <w:t>The external audit</w:t>
      </w:r>
      <w:r w:rsidRPr="00761F84">
        <w:t xml:space="preserve"> provides assurance that the Council has managed its finances and delivered value for money in accordance wit</w:t>
      </w:r>
      <w:r>
        <w:t>h all the Council’s</w:t>
      </w:r>
      <w:r w:rsidRPr="00761F84">
        <w:t xml:space="preserve"> priorities</w:t>
      </w:r>
      <w:r>
        <w:t>.</w:t>
      </w:r>
    </w:p>
    <w:p w14:paraId="477E4985" w14:textId="77777777" w:rsidR="005E6647" w:rsidRDefault="005E6647" w:rsidP="005E6647">
      <w:pPr>
        <w:pStyle w:val="Heading2"/>
      </w:pPr>
      <w:r>
        <w:t>Section 3 - Statutory Officer Clearance</w:t>
      </w:r>
    </w:p>
    <w:p w14:paraId="52D73C86" w14:textId="77777777" w:rsidR="005E6647" w:rsidRPr="00B90CD8" w:rsidRDefault="005E6647" w:rsidP="005E6647"/>
    <w:p w14:paraId="2639BCEB" w14:textId="77777777" w:rsidR="005E6647" w:rsidRDefault="005E6647" w:rsidP="005E6647">
      <w:pPr>
        <w:keepNext/>
        <w:rPr>
          <w:rFonts w:cs="Arial"/>
        </w:rPr>
      </w:pPr>
    </w:p>
    <w:p w14:paraId="10114DDA" w14:textId="77777777" w:rsidR="005E6647" w:rsidRPr="00A66326" w:rsidRDefault="005E6647" w:rsidP="005E6647">
      <w:pPr>
        <w:rPr>
          <w:sz w:val="28"/>
        </w:rPr>
      </w:pPr>
      <w:r w:rsidRPr="00A66326">
        <w:rPr>
          <w:b/>
          <w:sz w:val="28"/>
        </w:rPr>
        <w:t xml:space="preserve">Statutory Officer:  </w:t>
      </w:r>
    </w:p>
    <w:p w14:paraId="02E46CCE" w14:textId="0A36C168" w:rsidR="005E6647" w:rsidRPr="007F7DC0" w:rsidRDefault="005E6647" w:rsidP="005E6647">
      <w:r w:rsidRPr="007F7DC0">
        <w:t xml:space="preserve">Signed by the </w:t>
      </w:r>
      <w:r w:rsidR="007F7DC0" w:rsidRPr="007F7DC0">
        <w:t>Interim Director of Finance and Assurance</w:t>
      </w:r>
    </w:p>
    <w:p w14:paraId="102ECEB1" w14:textId="77777777" w:rsidR="005E6647" w:rsidRPr="007F7DC0" w:rsidRDefault="005E6647" w:rsidP="005E6647">
      <w:pPr>
        <w:ind w:left="360" w:hanging="360"/>
        <w:jc w:val="both"/>
        <w:rPr>
          <w:rFonts w:cs="Arial"/>
          <w:color w:val="FF0000"/>
        </w:rPr>
      </w:pPr>
    </w:p>
    <w:p w14:paraId="6EBC0416" w14:textId="77777777" w:rsidR="005E6647" w:rsidRPr="00761F84" w:rsidRDefault="005E6647" w:rsidP="005E6647">
      <w:r w:rsidRPr="007F7DC0">
        <w:t>Sharon Daniels</w:t>
      </w:r>
    </w:p>
    <w:p w14:paraId="3DF5C225" w14:textId="77777777" w:rsidR="005E6647" w:rsidRPr="00A66326" w:rsidRDefault="005E6647" w:rsidP="005E6647">
      <w:pPr>
        <w:rPr>
          <w:sz w:val="28"/>
        </w:rPr>
      </w:pPr>
    </w:p>
    <w:p w14:paraId="1825CC8D" w14:textId="136BFCF0" w:rsidR="005E6647" w:rsidRDefault="005E6647" w:rsidP="005E6647">
      <w:pPr>
        <w:spacing w:after="480"/>
        <w:rPr>
          <w:szCs w:val="24"/>
        </w:rPr>
      </w:pPr>
      <w:r w:rsidRPr="00A66326">
        <w:rPr>
          <w:b/>
          <w:sz w:val="28"/>
        </w:rPr>
        <w:t xml:space="preserve">Date:  </w:t>
      </w:r>
      <w:r w:rsidR="00C05049">
        <w:rPr>
          <w:bCs/>
          <w:szCs w:val="24"/>
        </w:rPr>
        <w:t>2</w:t>
      </w:r>
      <w:r w:rsidR="008108E2">
        <w:rPr>
          <w:bCs/>
          <w:szCs w:val="24"/>
        </w:rPr>
        <w:t>0</w:t>
      </w:r>
      <w:r w:rsidR="000C07E4" w:rsidRPr="00A322DF">
        <w:rPr>
          <w:bCs/>
          <w:szCs w:val="24"/>
        </w:rPr>
        <w:t xml:space="preserve"> November</w:t>
      </w:r>
      <w:r w:rsidRPr="00A322DF">
        <w:rPr>
          <w:szCs w:val="24"/>
        </w:rPr>
        <w:t xml:space="preserve"> 2023</w:t>
      </w:r>
    </w:p>
    <w:p w14:paraId="30A2F7EA" w14:textId="77777777" w:rsidR="0090391F" w:rsidRPr="00A66326" w:rsidRDefault="0090391F" w:rsidP="0090391F">
      <w:pPr>
        <w:rPr>
          <w:sz w:val="28"/>
        </w:rPr>
      </w:pPr>
      <w:r w:rsidRPr="00A66326">
        <w:rPr>
          <w:b/>
          <w:sz w:val="28"/>
        </w:rPr>
        <w:t xml:space="preserve">Statutory Officer:  </w:t>
      </w:r>
    </w:p>
    <w:p w14:paraId="770DA698" w14:textId="104C5FD6" w:rsidR="0090391F" w:rsidRDefault="0090391F" w:rsidP="0090391F">
      <w:r>
        <w:t>Signed on behalf of the</w:t>
      </w:r>
      <w:r w:rsidRPr="00A66326">
        <w:t xml:space="preserve"> Monitoring Officer</w:t>
      </w:r>
    </w:p>
    <w:p w14:paraId="61BD0635" w14:textId="77777777" w:rsidR="0090391F" w:rsidRDefault="0090391F" w:rsidP="0090391F"/>
    <w:p w14:paraId="2BA41C29" w14:textId="63A092D0" w:rsidR="0090391F" w:rsidRPr="00A66326" w:rsidRDefault="0090391F" w:rsidP="0090391F">
      <w:r>
        <w:t>Caroline Eccles</w:t>
      </w:r>
    </w:p>
    <w:p w14:paraId="51D922DE" w14:textId="77777777" w:rsidR="0090391F" w:rsidRPr="00A66326" w:rsidRDefault="0090391F" w:rsidP="0090391F">
      <w:pPr>
        <w:rPr>
          <w:sz w:val="28"/>
        </w:rPr>
      </w:pPr>
    </w:p>
    <w:p w14:paraId="30D32E46" w14:textId="2AB51139" w:rsidR="0090391F" w:rsidRPr="00A66326" w:rsidRDefault="0090391F" w:rsidP="005E6647">
      <w:pPr>
        <w:spacing w:after="480"/>
        <w:rPr>
          <w:sz w:val="28"/>
        </w:rPr>
      </w:pPr>
      <w:r w:rsidRPr="00A66326">
        <w:rPr>
          <w:b/>
          <w:sz w:val="28"/>
        </w:rPr>
        <w:t xml:space="preserve">Date:  </w:t>
      </w:r>
      <w:r>
        <w:rPr>
          <w:bCs/>
          <w:szCs w:val="24"/>
        </w:rPr>
        <w:t>21 November 2023</w:t>
      </w:r>
    </w:p>
    <w:p w14:paraId="6A44AEE7" w14:textId="77777777" w:rsidR="005E6647" w:rsidRPr="00A66326" w:rsidRDefault="005E6647" w:rsidP="005E6647">
      <w:pPr>
        <w:rPr>
          <w:sz w:val="28"/>
        </w:rPr>
      </w:pPr>
      <w:r>
        <w:rPr>
          <w:b/>
          <w:sz w:val="28"/>
        </w:rPr>
        <w:t>Chief</w:t>
      </w:r>
      <w:r w:rsidRPr="00A66326">
        <w:rPr>
          <w:b/>
          <w:sz w:val="28"/>
        </w:rPr>
        <w:t xml:space="preserve"> Officer:  </w:t>
      </w:r>
    </w:p>
    <w:p w14:paraId="6FE01A07" w14:textId="77777777" w:rsidR="007F7DC0" w:rsidRDefault="007F7DC0" w:rsidP="007F7DC0">
      <w:r>
        <w:t>Signed by the Interim Director of Finance and Assurance</w:t>
      </w:r>
    </w:p>
    <w:p w14:paraId="01B90C02" w14:textId="41013C17" w:rsidR="005E6647" w:rsidRDefault="005E6647" w:rsidP="007F7DC0"/>
    <w:p w14:paraId="330E62A6" w14:textId="6451F677" w:rsidR="005E6647" w:rsidRPr="00A66326" w:rsidRDefault="00467994" w:rsidP="005E6647">
      <w:r>
        <w:t>Sharon Daniels</w:t>
      </w:r>
    </w:p>
    <w:p w14:paraId="49EB3D71" w14:textId="77777777" w:rsidR="005E6647" w:rsidRPr="00A66326" w:rsidRDefault="005E6647" w:rsidP="005E6647">
      <w:pPr>
        <w:rPr>
          <w:sz w:val="28"/>
        </w:rPr>
      </w:pPr>
    </w:p>
    <w:p w14:paraId="06E56F42" w14:textId="5A822FF9" w:rsidR="00A322DF" w:rsidRPr="00A66326" w:rsidRDefault="005E6647" w:rsidP="00A322DF">
      <w:pPr>
        <w:spacing w:after="480"/>
        <w:rPr>
          <w:sz w:val="28"/>
        </w:rPr>
      </w:pPr>
      <w:r w:rsidRPr="00A66326">
        <w:rPr>
          <w:b/>
          <w:sz w:val="28"/>
        </w:rPr>
        <w:t xml:space="preserve">Date:  </w:t>
      </w:r>
      <w:r w:rsidR="008108E2">
        <w:rPr>
          <w:bCs/>
          <w:szCs w:val="24"/>
        </w:rPr>
        <w:t>20</w:t>
      </w:r>
      <w:r w:rsidR="00A322DF" w:rsidRPr="00A322DF">
        <w:rPr>
          <w:bCs/>
          <w:szCs w:val="24"/>
        </w:rPr>
        <w:t xml:space="preserve"> November</w:t>
      </w:r>
      <w:r w:rsidR="00A322DF" w:rsidRPr="00A322DF">
        <w:rPr>
          <w:szCs w:val="24"/>
        </w:rPr>
        <w:t xml:space="preserve"> 2023</w:t>
      </w:r>
    </w:p>
    <w:p w14:paraId="1B6F125A" w14:textId="77777777" w:rsidR="005E6647" w:rsidRPr="00435B5D" w:rsidRDefault="005E6647" w:rsidP="005E6647">
      <w:pPr>
        <w:pStyle w:val="Heading2"/>
        <w:spacing w:after="240"/>
      </w:pPr>
      <w:r>
        <w:t>Mandatory Checks</w:t>
      </w:r>
    </w:p>
    <w:p w14:paraId="0F1FD752" w14:textId="77777777" w:rsidR="005E6647" w:rsidRPr="009E0147" w:rsidRDefault="005E6647" w:rsidP="005E6647">
      <w:r w:rsidRPr="009E0147">
        <w:t xml:space="preserve">Ward Councillors notified:  NO, as it impacts on all </w:t>
      </w:r>
      <w:proofErr w:type="gramStart"/>
      <w:r w:rsidRPr="009E0147">
        <w:t>Wards</w:t>
      </w:r>
      <w:proofErr w:type="gramEnd"/>
      <w:r w:rsidRPr="009E0147">
        <w:t xml:space="preserve"> </w:t>
      </w:r>
    </w:p>
    <w:p w14:paraId="53942959" w14:textId="77777777" w:rsidR="005E6647" w:rsidRDefault="005E6647" w:rsidP="005E6647">
      <w:pPr>
        <w:pStyle w:val="Heading2"/>
        <w:keepNext/>
        <w:spacing w:after="240"/>
      </w:pPr>
      <w:r>
        <w:t>Section 4 - Contact Details and Background Papers</w:t>
      </w:r>
    </w:p>
    <w:p w14:paraId="76031CE3" w14:textId="31E57103" w:rsidR="005E6647" w:rsidRDefault="005E6647" w:rsidP="005E6647">
      <w:r w:rsidRPr="009E0147">
        <w:rPr>
          <w:b/>
        </w:rPr>
        <w:t>Contact:</w:t>
      </w:r>
      <w:r>
        <w:t xml:space="preserve">  </w:t>
      </w:r>
      <w:r w:rsidR="00933ED7">
        <w:t>Purvi Shah</w:t>
      </w:r>
      <w:r>
        <w:t xml:space="preserve"> </w:t>
      </w:r>
      <w:r w:rsidRPr="008C44FF">
        <w:t>(</w:t>
      </w:r>
      <w:r w:rsidR="00933ED7">
        <w:t xml:space="preserve">Interim </w:t>
      </w:r>
      <w:r>
        <w:t>Chief Accountant)</w:t>
      </w:r>
    </w:p>
    <w:p w14:paraId="70781D55" w14:textId="51AC442B" w:rsidR="005E6647" w:rsidRDefault="005E6647" w:rsidP="005E6647">
      <w:r w:rsidRPr="008C44FF">
        <w:t xml:space="preserve">Email: </w:t>
      </w:r>
      <w:r w:rsidR="00933ED7">
        <w:t>purvi.shah</w:t>
      </w:r>
      <w:r w:rsidRPr="008C44FF">
        <w:t>@harrow.gov.uk</w:t>
      </w:r>
    </w:p>
    <w:p w14:paraId="4B0A433C" w14:textId="72A9A21A" w:rsidR="005E6647" w:rsidRDefault="005E6647" w:rsidP="005E6647">
      <w:pPr>
        <w:pStyle w:val="Infotext"/>
        <w:spacing w:before="360" w:after="120"/>
      </w:pPr>
      <w:r w:rsidRPr="00D914D2">
        <w:rPr>
          <w:b/>
        </w:rPr>
        <w:t>Background Papers</w:t>
      </w:r>
      <w:r>
        <w:t>:</w:t>
      </w:r>
      <w:r w:rsidR="00150E15">
        <w:t xml:space="preserve"> N/A</w:t>
      </w:r>
    </w:p>
    <w:p w14:paraId="2ADD3C64" w14:textId="77777777" w:rsidR="005E6647" w:rsidRPr="00467994" w:rsidRDefault="005E6647" w:rsidP="005E6647">
      <w:pPr>
        <w:spacing w:before="360" w:after="240"/>
        <w:rPr>
          <w:szCs w:val="24"/>
        </w:rPr>
      </w:pPr>
      <w:r w:rsidRPr="00467994">
        <w:rPr>
          <w:szCs w:val="24"/>
        </w:rPr>
        <w:t xml:space="preserve">If appropriate, does the report include the following considerations? </w:t>
      </w:r>
    </w:p>
    <w:p w14:paraId="04628433" w14:textId="77777777" w:rsidR="005E6647" w:rsidRPr="00467994" w:rsidRDefault="005E6647" w:rsidP="005E6647">
      <w:pPr>
        <w:spacing w:after="120"/>
        <w:ind w:left="360"/>
        <w:rPr>
          <w:szCs w:val="24"/>
        </w:rPr>
      </w:pPr>
      <w:r w:rsidRPr="00467994">
        <w:rPr>
          <w:szCs w:val="24"/>
        </w:rPr>
        <w:lastRenderedPageBreak/>
        <w:t>1</w:t>
      </w:r>
      <w:r w:rsidRPr="00467994">
        <w:rPr>
          <w:szCs w:val="24"/>
        </w:rPr>
        <w:tab/>
        <w:t xml:space="preserve">Consultation </w:t>
      </w:r>
      <w:r w:rsidRPr="00467994">
        <w:rPr>
          <w:szCs w:val="24"/>
        </w:rPr>
        <w:tab/>
      </w:r>
      <w:r w:rsidRPr="00467994">
        <w:rPr>
          <w:szCs w:val="24"/>
        </w:rPr>
        <w:tab/>
      </w:r>
      <w:r w:rsidRPr="00467994">
        <w:rPr>
          <w:szCs w:val="24"/>
        </w:rPr>
        <w:tab/>
      </w:r>
      <w:r w:rsidRPr="00467994">
        <w:rPr>
          <w:szCs w:val="24"/>
        </w:rPr>
        <w:tab/>
        <w:t>No</w:t>
      </w:r>
    </w:p>
    <w:p w14:paraId="52765106" w14:textId="77777777" w:rsidR="005E6647" w:rsidRPr="00467994" w:rsidRDefault="005E6647" w:rsidP="005E6647">
      <w:pPr>
        <w:spacing w:after="120"/>
        <w:ind w:left="360"/>
        <w:rPr>
          <w:szCs w:val="24"/>
        </w:rPr>
      </w:pPr>
      <w:r w:rsidRPr="00467994">
        <w:rPr>
          <w:szCs w:val="24"/>
        </w:rPr>
        <w:t>2</w:t>
      </w:r>
      <w:r w:rsidRPr="00467994">
        <w:rPr>
          <w:szCs w:val="24"/>
        </w:rPr>
        <w:tab/>
        <w:t>Priorities</w:t>
      </w:r>
      <w:r w:rsidRPr="00467994">
        <w:rPr>
          <w:szCs w:val="24"/>
        </w:rPr>
        <w:tab/>
      </w:r>
      <w:r w:rsidRPr="00467994">
        <w:rPr>
          <w:szCs w:val="24"/>
        </w:rPr>
        <w:tab/>
      </w:r>
      <w:r w:rsidRPr="00467994">
        <w:rPr>
          <w:szCs w:val="24"/>
        </w:rPr>
        <w:tab/>
      </w:r>
      <w:r w:rsidRPr="00467994">
        <w:rPr>
          <w:szCs w:val="24"/>
        </w:rPr>
        <w:tab/>
        <w:t xml:space="preserve">No </w:t>
      </w:r>
    </w:p>
    <w:p w14:paraId="4905AD65" w14:textId="77777777" w:rsidR="005E6647" w:rsidRPr="00467994" w:rsidRDefault="005E6647" w:rsidP="005E6647">
      <w:pPr>
        <w:spacing w:before="120"/>
        <w:rPr>
          <w:szCs w:val="24"/>
        </w:rPr>
      </w:pPr>
    </w:p>
    <w:sectPr w:rsidR="005E6647" w:rsidRPr="0046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E8"/>
    <w:multiLevelType w:val="hybridMultilevel"/>
    <w:tmpl w:val="FB3C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B40F3"/>
    <w:multiLevelType w:val="hybridMultilevel"/>
    <w:tmpl w:val="E266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225BC3"/>
    <w:multiLevelType w:val="hybridMultilevel"/>
    <w:tmpl w:val="3A38C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E2221"/>
    <w:multiLevelType w:val="hybridMultilevel"/>
    <w:tmpl w:val="0BE80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DC185A"/>
    <w:multiLevelType w:val="hybridMultilevel"/>
    <w:tmpl w:val="E83CF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335125"/>
    <w:multiLevelType w:val="hybridMultilevel"/>
    <w:tmpl w:val="8AD21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513069"/>
    <w:multiLevelType w:val="hybridMultilevel"/>
    <w:tmpl w:val="CEAE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FB1C05"/>
    <w:multiLevelType w:val="hybridMultilevel"/>
    <w:tmpl w:val="FB349180"/>
    <w:lvl w:ilvl="0" w:tplc="21F2A73C">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384713">
    <w:abstractNumId w:val="8"/>
  </w:num>
  <w:num w:numId="2" w16cid:durableId="809830684">
    <w:abstractNumId w:val="0"/>
  </w:num>
  <w:num w:numId="3" w16cid:durableId="1740516746">
    <w:abstractNumId w:val="4"/>
  </w:num>
  <w:num w:numId="4" w16cid:durableId="1374960738">
    <w:abstractNumId w:val="1"/>
  </w:num>
  <w:num w:numId="5" w16cid:durableId="704256574">
    <w:abstractNumId w:val="7"/>
  </w:num>
  <w:num w:numId="6" w16cid:durableId="693195609">
    <w:abstractNumId w:val="5"/>
  </w:num>
  <w:num w:numId="7" w16cid:durableId="408113669">
    <w:abstractNumId w:val="6"/>
  </w:num>
  <w:num w:numId="8" w16cid:durableId="2123649704">
    <w:abstractNumId w:val="2"/>
  </w:num>
  <w:num w:numId="9" w16cid:durableId="184577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7"/>
    <w:rsid w:val="00014657"/>
    <w:rsid w:val="00062275"/>
    <w:rsid w:val="000A6ACD"/>
    <w:rsid w:val="000B603D"/>
    <w:rsid w:val="000C07E4"/>
    <w:rsid w:val="000C7C3E"/>
    <w:rsid w:val="000D5F3B"/>
    <w:rsid w:val="000E25DF"/>
    <w:rsid w:val="00150E15"/>
    <w:rsid w:val="00185AA8"/>
    <w:rsid w:val="00190601"/>
    <w:rsid w:val="001A41F8"/>
    <w:rsid w:val="001B5C7D"/>
    <w:rsid w:val="001D21E0"/>
    <w:rsid w:val="00245F92"/>
    <w:rsid w:val="0025312D"/>
    <w:rsid w:val="002540E6"/>
    <w:rsid w:val="00262AC4"/>
    <w:rsid w:val="0027108F"/>
    <w:rsid w:val="002829D8"/>
    <w:rsid w:val="002967BE"/>
    <w:rsid w:val="002A2142"/>
    <w:rsid w:val="00310D42"/>
    <w:rsid w:val="00327D49"/>
    <w:rsid w:val="00356132"/>
    <w:rsid w:val="00393673"/>
    <w:rsid w:val="003B72C8"/>
    <w:rsid w:val="003D0806"/>
    <w:rsid w:val="003F7B81"/>
    <w:rsid w:val="00417CFD"/>
    <w:rsid w:val="00445B6B"/>
    <w:rsid w:val="00467994"/>
    <w:rsid w:val="004700F8"/>
    <w:rsid w:val="00482BCF"/>
    <w:rsid w:val="004A503E"/>
    <w:rsid w:val="004C50C3"/>
    <w:rsid w:val="00524E78"/>
    <w:rsid w:val="00527C70"/>
    <w:rsid w:val="005342A6"/>
    <w:rsid w:val="0053589A"/>
    <w:rsid w:val="00561688"/>
    <w:rsid w:val="00572211"/>
    <w:rsid w:val="005932AC"/>
    <w:rsid w:val="005953D9"/>
    <w:rsid w:val="005E6647"/>
    <w:rsid w:val="00656C86"/>
    <w:rsid w:val="00674D71"/>
    <w:rsid w:val="00676934"/>
    <w:rsid w:val="006A4940"/>
    <w:rsid w:val="006B7D2B"/>
    <w:rsid w:val="006C69CC"/>
    <w:rsid w:val="006D6215"/>
    <w:rsid w:val="006D74B4"/>
    <w:rsid w:val="006E0EF5"/>
    <w:rsid w:val="0070350B"/>
    <w:rsid w:val="00703F6D"/>
    <w:rsid w:val="007734AC"/>
    <w:rsid w:val="007941B3"/>
    <w:rsid w:val="007A3168"/>
    <w:rsid w:val="007C7B51"/>
    <w:rsid w:val="007F7DC0"/>
    <w:rsid w:val="008108E2"/>
    <w:rsid w:val="00811BA8"/>
    <w:rsid w:val="00891831"/>
    <w:rsid w:val="00894EA3"/>
    <w:rsid w:val="008A52CE"/>
    <w:rsid w:val="008E6421"/>
    <w:rsid w:val="0090391F"/>
    <w:rsid w:val="00924014"/>
    <w:rsid w:val="00933ED7"/>
    <w:rsid w:val="00951300"/>
    <w:rsid w:val="00977D33"/>
    <w:rsid w:val="00992C5D"/>
    <w:rsid w:val="009B084E"/>
    <w:rsid w:val="009B47AD"/>
    <w:rsid w:val="009C711E"/>
    <w:rsid w:val="009D1953"/>
    <w:rsid w:val="00A05DF0"/>
    <w:rsid w:val="00A322DF"/>
    <w:rsid w:val="00A77E39"/>
    <w:rsid w:val="00A978BA"/>
    <w:rsid w:val="00AA019B"/>
    <w:rsid w:val="00AA6593"/>
    <w:rsid w:val="00AC7AFA"/>
    <w:rsid w:val="00AD5B4A"/>
    <w:rsid w:val="00B1021F"/>
    <w:rsid w:val="00B309B0"/>
    <w:rsid w:val="00B472CF"/>
    <w:rsid w:val="00BC1CD8"/>
    <w:rsid w:val="00BC2FF6"/>
    <w:rsid w:val="00C05049"/>
    <w:rsid w:val="00C058C6"/>
    <w:rsid w:val="00C30F71"/>
    <w:rsid w:val="00C555D8"/>
    <w:rsid w:val="00C56643"/>
    <w:rsid w:val="00C909C2"/>
    <w:rsid w:val="00C93F58"/>
    <w:rsid w:val="00CE32D0"/>
    <w:rsid w:val="00D03DC6"/>
    <w:rsid w:val="00D1105A"/>
    <w:rsid w:val="00D51BC0"/>
    <w:rsid w:val="00D60BFC"/>
    <w:rsid w:val="00D651A5"/>
    <w:rsid w:val="00D81522"/>
    <w:rsid w:val="00D87811"/>
    <w:rsid w:val="00E04EF8"/>
    <w:rsid w:val="00E61D16"/>
    <w:rsid w:val="00E63573"/>
    <w:rsid w:val="00E65EDF"/>
    <w:rsid w:val="00EA12CF"/>
    <w:rsid w:val="00EE0BFE"/>
    <w:rsid w:val="00EE2C4B"/>
    <w:rsid w:val="00EF68D9"/>
    <w:rsid w:val="00F45999"/>
    <w:rsid w:val="00F86038"/>
    <w:rsid w:val="00F875FD"/>
    <w:rsid w:val="00FB4339"/>
    <w:rsid w:val="00FC243D"/>
    <w:rsid w:val="00FD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438"/>
  <w15:chartTrackingRefBased/>
  <w15:docId w15:val="{BA204AF8-BA84-47C8-9323-F20A154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4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5E6647"/>
    <w:pPr>
      <w:spacing w:before="0"/>
      <w:outlineLvl w:val="0"/>
    </w:pPr>
    <w:rPr>
      <w:b/>
      <w:sz w:val="36"/>
    </w:rPr>
  </w:style>
  <w:style w:type="paragraph" w:styleId="Heading2">
    <w:name w:val="heading 2"/>
    <w:basedOn w:val="Normal"/>
    <w:next w:val="Normal"/>
    <w:link w:val="Heading2Char"/>
    <w:qFormat/>
    <w:rsid w:val="005E6647"/>
    <w:pPr>
      <w:spacing w:before="480"/>
      <w:outlineLvl w:val="1"/>
    </w:pPr>
    <w:rPr>
      <w:rFonts w:ascii="Arial Black" w:hAnsi="Arial Black"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647"/>
    <w:rPr>
      <w:rFonts w:ascii="Arial Black" w:eastAsia="Times New Roman" w:hAnsi="Arial Black" w:cs="Arial"/>
      <w:b/>
      <w:bCs/>
      <w:sz w:val="36"/>
      <w:szCs w:val="32"/>
    </w:rPr>
  </w:style>
  <w:style w:type="character" w:customStyle="1" w:styleId="Heading2Char">
    <w:name w:val="Heading 2 Char"/>
    <w:basedOn w:val="DefaultParagraphFont"/>
    <w:link w:val="Heading2"/>
    <w:rsid w:val="005E6647"/>
    <w:rPr>
      <w:rFonts w:ascii="Arial Black" w:eastAsia="Times New Roman" w:hAnsi="Arial Black" w:cs="Arial"/>
      <w:bCs/>
      <w:sz w:val="32"/>
      <w:szCs w:val="32"/>
    </w:rPr>
  </w:style>
  <w:style w:type="paragraph" w:customStyle="1" w:styleId="Infotext">
    <w:name w:val="Info text"/>
    <w:basedOn w:val="Normal"/>
    <w:rsid w:val="005E6647"/>
    <w:rPr>
      <w:sz w:val="28"/>
    </w:rPr>
  </w:style>
  <w:style w:type="paragraph" w:styleId="ListParagraph">
    <w:name w:val="List Paragraph"/>
    <w:basedOn w:val="Normal"/>
    <w:qFormat/>
    <w:rsid w:val="005E6647"/>
    <w:pPr>
      <w:ind w:left="720"/>
    </w:pPr>
    <w:rPr>
      <w:rFonts w:eastAsia="Calibri" w:cs="Arial"/>
      <w:color w:val="000000"/>
      <w:sz w:val="22"/>
      <w:szCs w:val="22"/>
      <w:lang w:eastAsia="en-GB"/>
    </w:rPr>
  </w:style>
  <w:style w:type="table" w:customStyle="1" w:styleId="Style1">
    <w:name w:val="Style1"/>
    <w:basedOn w:val="TableNormal"/>
    <w:uiPriority w:val="99"/>
    <w:rsid w:val="005E664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styleId="BodyText3">
    <w:name w:val="Body Text 3"/>
    <w:basedOn w:val="Normal"/>
    <w:link w:val="BodyText3Char"/>
    <w:rsid w:val="005E6647"/>
    <w:pPr>
      <w:spacing w:after="120"/>
    </w:pPr>
    <w:rPr>
      <w:sz w:val="16"/>
      <w:szCs w:val="16"/>
    </w:rPr>
  </w:style>
  <w:style w:type="character" w:customStyle="1" w:styleId="BodyText3Char">
    <w:name w:val="Body Text 3 Char"/>
    <w:basedOn w:val="DefaultParagraphFont"/>
    <w:link w:val="BodyText3"/>
    <w:rsid w:val="005E6647"/>
    <w:rPr>
      <w:rFonts w:ascii="Arial" w:eastAsia="Times New Roman" w:hAnsi="Arial" w:cs="Times New Roman"/>
      <w:sz w:val="16"/>
      <w:szCs w:val="16"/>
    </w:rPr>
  </w:style>
  <w:style w:type="character" w:styleId="CommentReference">
    <w:name w:val="annotation reference"/>
    <w:basedOn w:val="DefaultParagraphFont"/>
    <w:semiHidden/>
    <w:unhideWhenUsed/>
    <w:rsid w:val="005E6647"/>
    <w:rPr>
      <w:sz w:val="16"/>
      <w:szCs w:val="16"/>
    </w:rPr>
  </w:style>
  <w:style w:type="paragraph" w:styleId="CommentText">
    <w:name w:val="annotation text"/>
    <w:basedOn w:val="Normal"/>
    <w:link w:val="CommentTextChar"/>
    <w:semiHidden/>
    <w:unhideWhenUsed/>
    <w:rsid w:val="005E6647"/>
    <w:rPr>
      <w:sz w:val="20"/>
    </w:rPr>
  </w:style>
  <w:style w:type="character" w:customStyle="1" w:styleId="CommentTextChar">
    <w:name w:val="Comment Text Char"/>
    <w:basedOn w:val="DefaultParagraphFont"/>
    <w:link w:val="CommentText"/>
    <w:semiHidden/>
    <w:rsid w:val="005E6647"/>
    <w:rPr>
      <w:rFonts w:ascii="Arial" w:eastAsia="Times New Roman" w:hAnsi="Arial" w:cs="Times New Roman"/>
      <w:sz w:val="20"/>
      <w:szCs w:val="20"/>
    </w:rPr>
  </w:style>
  <w:style w:type="paragraph" w:styleId="Revision">
    <w:name w:val="Revision"/>
    <w:hidden/>
    <w:uiPriority w:val="99"/>
    <w:semiHidden/>
    <w:rsid w:val="006D74B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8740">
      <w:bodyDiv w:val="1"/>
      <w:marLeft w:val="0"/>
      <w:marRight w:val="0"/>
      <w:marTop w:val="0"/>
      <w:marBottom w:val="0"/>
      <w:divBdr>
        <w:top w:val="none" w:sz="0" w:space="0" w:color="auto"/>
        <w:left w:val="none" w:sz="0" w:space="0" w:color="auto"/>
        <w:bottom w:val="none" w:sz="0" w:space="0" w:color="auto"/>
        <w:right w:val="none" w:sz="0" w:space="0" w:color="auto"/>
      </w:divBdr>
    </w:div>
    <w:div w:id="21195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FD66-9AB2-4E49-A2A3-339F381D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Ehinfun</dc:creator>
  <cp:keywords/>
  <dc:description/>
  <cp:lastModifiedBy>Arun Birah</cp:lastModifiedBy>
  <cp:revision>2</cp:revision>
  <cp:lastPrinted>2023-11-15T12:38:00Z</cp:lastPrinted>
  <dcterms:created xsi:type="dcterms:W3CDTF">2023-11-21T13:54:00Z</dcterms:created>
  <dcterms:modified xsi:type="dcterms:W3CDTF">2023-11-21T13:54:00Z</dcterms:modified>
</cp:coreProperties>
</file>